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9AFB9" w14:textId="7166550F" w:rsidR="00201292" w:rsidRDefault="008E2357" w:rsidP="00D15AEB">
      <w:pPr>
        <w:rPr>
          <w:b/>
          <w:bCs/>
          <w:szCs w:val="24"/>
        </w:rPr>
      </w:pPr>
      <w:r w:rsidRPr="00D15AEB">
        <w:rPr>
          <w:b/>
          <w:bCs/>
          <w:szCs w:val="24"/>
        </w:rPr>
        <w:t>Speculative Ancestry with Toni Morrison, Alice Walker, and Joseph Bruchac</w:t>
      </w:r>
    </w:p>
    <w:p w14:paraId="00DB7EE9" w14:textId="77777777" w:rsidR="00D15AEB" w:rsidRDefault="00D15AEB" w:rsidP="00D15AEB">
      <w:pPr>
        <w:rPr>
          <w:b/>
          <w:bCs/>
          <w:szCs w:val="24"/>
        </w:rPr>
      </w:pPr>
    </w:p>
    <w:p w14:paraId="484D3E01" w14:textId="0914FD65" w:rsidR="00D15AEB" w:rsidRPr="00D15AEB" w:rsidRDefault="00D15AEB" w:rsidP="00D15AEB">
      <w:pPr>
        <w:rPr>
          <w:szCs w:val="24"/>
        </w:rPr>
      </w:pPr>
      <w:r>
        <w:rPr>
          <w:szCs w:val="24"/>
        </w:rPr>
        <w:t>Rachel Northrop</w:t>
      </w:r>
    </w:p>
    <w:p w14:paraId="3424ECE1" w14:textId="77777777" w:rsidR="00F44BC2" w:rsidRPr="00D15AEB" w:rsidRDefault="00F44BC2" w:rsidP="00D15AEB">
      <w:pPr>
        <w:rPr>
          <w:szCs w:val="24"/>
        </w:rPr>
      </w:pPr>
    </w:p>
    <w:p w14:paraId="1A09E5AF" w14:textId="0549C012" w:rsidR="00027A00" w:rsidRPr="00D15AEB" w:rsidRDefault="00505A2A" w:rsidP="00D15AEB">
      <w:pPr>
        <w:rPr>
          <w:szCs w:val="24"/>
        </w:rPr>
      </w:pPr>
      <w:r w:rsidRPr="00D15AEB">
        <w:rPr>
          <w:szCs w:val="24"/>
        </w:rPr>
        <w:t xml:space="preserve">Writers </w:t>
      </w:r>
      <w:r w:rsidR="00027A00" w:rsidRPr="00D15AEB">
        <w:rPr>
          <w:szCs w:val="24"/>
        </w:rPr>
        <w:t>Toni Morrison, Alice Walker, and Joseph Bruchac</w:t>
      </w:r>
      <w:r w:rsidRPr="00D15AEB">
        <w:rPr>
          <w:szCs w:val="24"/>
        </w:rPr>
        <w:t xml:space="preserve"> </w:t>
      </w:r>
      <w:r w:rsidR="00A025B6" w:rsidRPr="00D15AEB">
        <w:rPr>
          <w:szCs w:val="24"/>
        </w:rPr>
        <w:t>each</w:t>
      </w:r>
      <w:r w:rsidR="00027A00" w:rsidRPr="00D15AEB">
        <w:rPr>
          <w:szCs w:val="24"/>
        </w:rPr>
        <w:t xml:space="preserve"> incorporate a practice I call “speculative ancestry” into their fiction and poetry. </w:t>
      </w:r>
      <w:r w:rsidR="00CE1C43" w:rsidRPr="00D15AEB">
        <w:rPr>
          <w:szCs w:val="24"/>
        </w:rPr>
        <w:t>A</w:t>
      </w:r>
      <w:r w:rsidR="00027A00" w:rsidRPr="00D15AEB">
        <w:rPr>
          <w:szCs w:val="24"/>
        </w:rPr>
        <w:t xml:space="preserve">ll three </w:t>
      </w:r>
      <w:r w:rsidR="00A025B6" w:rsidRPr="00D15AEB">
        <w:rPr>
          <w:szCs w:val="24"/>
        </w:rPr>
        <w:t>authors have published</w:t>
      </w:r>
      <w:r w:rsidR="00CE1C43" w:rsidRPr="00D15AEB">
        <w:rPr>
          <w:szCs w:val="24"/>
        </w:rPr>
        <w:t xml:space="preserve"> volumes of </w:t>
      </w:r>
      <w:proofErr w:type="spellStart"/>
      <w:r w:rsidR="00CE1C43" w:rsidRPr="00D15AEB">
        <w:rPr>
          <w:szCs w:val="24"/>
        </w:rPr>
        <w:t>metaliteray</w:t>
      </w:r>
      <w:proofErr w:type="spellEnd"/>
      <w:r w:rsidR="00CE1C43" w:rsidRPr="00D15AEB">
        <w:rPr>
          <w:szCs w:val="24"/>
        </w:rPr>
        <w:t xml:space="preserve"> commentary in which they </w:t>
      </w:r>
      <w:r w:rsidR="00027A00" w:rsidRPr="00D15AEB">
        <w:rPr>
          <w:szCs w:val="24"/>
        </w:rPr>
        <w:t>expl</w:t>
      </w:r>
      <w:r w:rsidR="00CE1C43" w:rsidRPr="00D15AEB">
        <w:rPr>
          <w:szCs w:val="24"/>
        </w:rPr>
        <w:t>ain</w:t>
      </w:r>
      <w:r w:rsidR="00027A00" w:rsidRPr="00D15AEB">
        <w:rPr>
          <w:szCs w:val="24"/>
        </w:rPr>
        <w:t xml:space="preserve"> </w:t>
      </w:r>
      <w:r w:rsidR="00CE1C43" w:rsidRPr="00D15AEB">
        <w:rPr>
          <w:szCs w:val="24"/>
        </w:rPr>
        <w:t xml:space="preserve">their work, including </w:t>
      </w:r>
      <w:r w:rsidR="00027A00" w:rsidRPr="00D15AEB">
        <w:rPr>
          <w:szCs w:val="24"/>
        </w:rPr>
        <w:t>the relationship between the</w:t>
      </w:r>
      <w:r w:rsidR="00CE1C43" w:rsidRPr="00D15AEB">
        <w:rPr>
          <w:szCs w:val="24"/>
        </w:rPr>
        <w:t xml:space="preserve"> autobiographical genesis</w:t>
      </w:r>
      <w:r w:rsidR="00027A00" w:rsidRPr="00D15AEB">
        <w:rPr>
          <w:szCs w:val="24"/>
        </w:rPr>
        <w:t xml:space="preserve"> </w:t>
      </w:r>
      <w:r w:rsidR="00CE1C43" w:rsidRPr="00D15AEB">
        <w:rPr>
          <w:szCs w:val="24"/>
        </w:rPr>
        <w:t xml:space="preserve">of speculative ancestry </w:t>
      </w:r>
      <w:r w:rsidR="00027A00" w:rsidRPr="00D15AEB">
        <w:rPr>
          <w:szCs w:val="24"/>
        </w:rPr>
        <w:t xml:space="preserve">and </w:t>
      </w:r>
      <w:r w:rsidR="00CE1C43" w:rsidRPr="00D15AEB">
        <w:rPr>
          <w:szCs w:val="24"/>
        </w:rPr>
        <w:t>its</w:t>
      </w:r>
      <w:r w:rsidR="00027A00" w:rsidRPr="00D15AEB">
        <w:rPr>
          <w:szCs w:val="24"/>
        </w:rPr>
        <w:t xml:space="preserve"> literary</w:t>
      </w:r>
      <w:r w:rsidR="00CE1C43" w:rsidRPr="00D15AEB">
        <w:rPr>
          <w:szCs w:val="24"/>
        </w:rPr>
        <w:t xml:space="preserve"> expression</w:t>
      </w:r>
      <w:r w:rsidR="00A025B6" w:rsidRPr="00D15AEB">
        <w:rPr>
          <w:szCs w:val="24"/>
        </w:rPr>
        <w:t>s</w:t>
      </w:r>
      <w:r w:rsidR="00027A00" w:rsidRPr="00D15AEB">
        <w:rPr>
          <w:szCs w:val="24"/>
        </w:rPr>
        <w:t>.</w:t>
      </w:r>
    </w:p>
    <w:p w14:paraId="4211BDCC" w14:textId="795C3091" w:rsidR="00027A00" w:rsidRPr="00D15AEB" w:rsidRDefault="00027A00" w:rsidP="00D15AEB">
      <w:pPr>
        <w:ind w:firstLine="720"/>
        <w:rPr>
          <w:szCs w:val="24"/>
        </w:rPr>
      </w:pPr>
      <w:r w:rsidRPr="00D15AEB">
        <w:rPr>
          <w:szCs w:val="24"/>
        </w:rPr>
        <w:t xml:space="preserve">One way to think of speculative ancestry is </w:t>
      </w:r>
      <w:r w:rsidR="00D83EC7" w:rsidRPr="00D15AEB">
        <w:rPr>
          <w:szCs w:val="24"/>
        </w:rPr>
        <w:t xml:space="preserve">as a subgenre of </w:t>
      </w:r>
      <w:r w:rsidR="00706608" w:rsidRPr="00D15AEB">
        <w:rPr>
          <w:szCs w:val="24"/>
        </w:rPr>
        <w:t>“critical fabulation,”</w:t>
      </w:r>
      <w:r w:rsidR="0088679E" w:rsidRPr="00D15AEB">
        <w:rPr>
          <w:szCs w:val="24"/>
        </w:rPr>
        <w:t xml:space="preserve"> </w:t>
      </w:r>
      <w:r w:rsidR="00706608" w:rsidRPr="00D15AEB">
        <w:rPr>
          <w:szCs w:val="24"/>
        </w:rPr>
        <w:t xml:space="preserve">a practice </w:t>
      </w:r>
      <w:proofErr w:type="spellStart"/>
      <w:r w:rsidR="00706608" w:rsidRPr="00D15AEB">
        <w:rPr>
          <w:szCs w:val="24"/>
        </w:rPr>
        <w:t>Saidiya</w:t>
      </w:r>
      <w:proofErr w:type="spellEnd"/>
      <w:r w:rsidR="00706608" w:rsidRPr="00D15AEB">
        <w:rPr>
          <w:szCs w:val="24"/>
        </w:rPr>
        <w:t xml:space="preserve"> Hartman introduced in 2008</w:t>
      </w:r>
      <w:r w:rsidR="00A076CE" w:rsidRPr="00D15AEB">
        <w:rPr>
          <w:szCs w:val="24"/>
        </w:rPr>
        <w:t xml:space="preserve"> that</w:t>
      </w:r>
      <w:r w:rsidR="00386151" w:rsidRPr="00D15AEB">
        <w:rPr>
          <w:szCs w:val="24"/>
        </w:rPr>
        <w:t xml:space="preserve"> </w:t>
      </w:r>
      <w:r w:rsidR="00A076CE" w:rsidRPr="00D15AEB">
        <w:rPr>
          <w:szCs w:val="24"/>
        </w:rPr>
        <w:t>“strain[s] against the limits of the archive” to “imagine what might have happened or might have been said or might have been done”</w:t>
      </w:r>
      <w:r w:rsidR="00D15AEB">
        <w:rPr>
          <w:szCs w:val="24"/>
        </w:rPr>
        <w:t xml:space="preserve"> (“Venus” 11).</w:t>
      </w:r>
      <w:r w:rsidR="004176B9" w:rsidRPr="00D15AEB">
        <w:rPr>
          <w:szCs w:val="24"/>
        </w:rPr>
        <w:t xml:space="preserve"> In literature, the term “speculative” is most often associated with fiction that imagines futures—alternative, dystopian, utopian, cautionary—and incorporates the liberating</w:t>
      </w:r>
      <w:r w:rsidR="004C0D87" w:rsidRPr="00D15AEB">
        <w:rPr>
          <w:szCs w:val="24"/>
        </w:rPr>
        <w:t>,</w:t>
      </w:r>
      <w:r w:rsidR="004176B9" w:rsidRPr="00D15AEB">
        <w:rPr>
          <w:szCs w:val="24"/>
        </w:rPr>
        <w:t xml:space="preserve"> or devastating</w:t>
      </w:r>
      <w:r w:rsidR="004C0D87" w:rsidRPr="00D15AEB">
        <w:rPr>
          <w:szCs w:val="24"/>
        </w:rPr>
        <w:t>,</w:t>
      </w:r>
      <w:r w:rsidR="004176B9" w:rsidRPr="00D15AEB">
        <w:rPr>
          <w:szCs w:val="24"/>
        </w:rPr>
        <w:t xml:space="preserve"> possibilities of science and technology. But</w:t>
      </w:r>
      <w:r w:rsidR="004C0D87" w:rsidRPr="00D15AEB">
        <w:rPr>
          <w:szCs w:val="24"/>
        </w:rPr>
        <w:t>, like Hartman does historically,</w:t>
      </w:r>
      <w:r w:rsidR="004176B9" w:rsidRPr="00D15AEB">
        <w:rPr>
          <w:szCs w:val="24"/>
        </w:rPr>
        <w:t xml:space="preserve"> </w:t>
      </w:r>
      <w:r w:rsidR="004C0D87" w:rsidRPr="00D15AEB">
        <w:rPr>
          <w:szCs w:val="24"/>
        </w:rPr>
        <w:t>Morrison, Walker, and Bruchac</w:t>
      </w:r>
      <w:r w:rsidR="004176B9" w:rsidRPr="00D15AEB">
        <w:rPr>
          <w:szCs w:val="24"/>
        </w:rPr>
        <w:t xml:space="preserve"> apply the speculative </w:t>
      </w:r>
      <w:r w:rsidR="004C0D87" w:rsidRPr="00D15AEB">
        <w:rPr>
          <w:szCs w:val="24"/>
        </w:rPr>
        <w:t xml:space="preserve">questions </w:t>
      </w:r>
      <w:r w:rsidR="004176B9" w:rsidRPr="00D15AEB">
        <w:rPr>
          <w:szCs w:val="24"/>
        </w:rPr>
        <w:t>“what if” and “what might have been?”</w:t>
      </w:r>
      <w:r w:rsidR="00386151" w:rsidRPr="00D15AEB">
        <w:rPr>
          <w:szCs w:val="24"/>
        </w:rPr>
        <w:t xml:space="preserve"> </w:t>
      </w:r>
      <w:r w:rsidR="004176B9" w:rsidRPr="00D15AEB">
        <w:rPr>
          <w:szCs w:val="24"/>
        </w:rPr>
        <w:t>to frame their literary explorations of the past.</w:t>
      </w:r>
    </w:p>
    <w:p w14:paraId="6C78B633" w14:textId="39EA770E" w:rsidR="004176B9" w:rsidRPr="00D15AEB" w:rsidRDefault="004176B9" w:rsidP="00D15AEB">
      <w:pPr>
        <w:ind w:firstLine="720"/>
        <w:rPr>
          <w:szCs w:val="24"/>
        </w:rPr>
      </w:pPr>
      <w:r w:rsidRPr="00D15AEB">
        <w:rPr>
          <w:szCs w:val="24"/>
        </w:rPr>
        <w:t>Hartman conceives critical fabulation to speculate what it might have been like for those whose fully human lives were excluded from the pages of written history, especially captive enslaved women. Speculative ancestry is a more specific form of this practice</w:t>
      </w:r>
      <w:r w:rsidR="005545A2" w:rsidRPr="00D15AEB">
        <w:rPr>
          <w:szCs w:val="24"/>
        </w:rPr>
        <w:t xml:space="preserve"> that</w:t>
      </w:r>
      <w:r w:rsidR="00B70082" w:rsidRPr="00D15AEB">
        <w:rPr>
          <w:szCs w:val="24"/>
        </w:rPr>
        <w:t xml:space="preserve"> fill</w:t>
      </w:r>
      <w:r w:rsidR="005545A2" w:rsidRPr="00D15AEB">
        <w:rPr>
          <w:szCs w:val="24"/>
        </w:rPr>
        <w:t>s</w:t>
      </w:r>
      <w:r w:rsidR="00B70082" w:rsidRPr="00D15AEB">
        <w:rPr>
          <w:szCs w:val="24"/>
        </w:rPr>
        <w:t xml:space="preserve"> in the gaps of the untold and unrecorded lives of one’s own ancestors. It uses </w:t>
      </w:r>
      <w:r w:rsidR="005545A2" w:rsidRPr="00D15AEB">
        <w:rPr>
          <w:szCs w:val="24"/>
        </w:rPr>
        <w:t>family</w:t>
      </w:r>
      <w:r w:rsidR="00B70082" w:rsidRPr="00D15AEB">
        <w:rPr>
          <w:szCs w:val="24"/>
        </w:rPr>
        <w:t xml:space="preserve"> composition and dynamics as a starting point for asking larger questions </w:t>
      </w:r>
      <w:r w:rsidR="00A0293E" w:rsidRPr="00D15AEB">
        <w:rPr>
          <w:szCs w:val="24"/>
        </w:rPr>
        <w:t xml:space="preserve">about what it means to </w:t>
      </w:r>
      <w:r w:rsidR="00A0293E" w:rsidRPr="00D15AEB">
        <w:rPr>
          <w:i/>
          <w:iCs/>
          <w:szCs w:val="24"/>
        </w:rPr>
        <w:t xml:space="preserve">be </w:t>
      </w:r>
      <w:r w:rsidR="00A0293E" w:rsidRPr="00D15AEB">
        <w:rPr>
          <w:szCs w:val="24"/>
        </w:rPr>
        <w:t xml:space="preserve">in </w:t>
      </w:r>
      <w:r w:rsidR="005545A2" w:rsidRPr="00D15AEB">
        <w:rPr>
          <w:szCs w:val="24"/>
        </w:rPr>
        <w:t xml:space="preserve">the United States, </w:t>
      </w:r>
      <w:r w:rsidR="00A0293E" w:rsidRPr="00D15AEB">
        <w:rPr>
          <w:szCs w:val="24"/>
        </w:rPr>
        <w:t>a place buil</w:t>
      </w:r>
      <w:r w:rsidR="005545A2" w:rsidRPr="00D15AEB">
        <w:rPr>
          <w:szCs w:val="24"/>
        </w:rPr>
        <w:t>t</w:t>
      </w:r>
      <w:r w:rsidR="00A0293E" w:rsidRPr="00D15AEB">
        <w:rPr>
          <w:szCs w:val="24"/>
        </w:rPr>
        <w:t xml:space="preserve"> through enslavement and forced migration, settler colonialism, and Indigenous displacement and genocide.</w:t>
      </w:r>
      <w:r w:rsidR="00A025B6" w:rsidRPr="00D15AEB">
        <w:rPr>
          <w:szCs w:val="24"/>
        </w:rPr>
        <w:t xml:space="preserve"> Where Hartman’s critical fabulation focuses on imagining into the disconnections rent by chattel slavery, the speculative ancestry practices I discuss here imagine into—and in some ways perpetuate—the erasures, obfuscations, and confusions of Indigenous genocide and displacement.</w:t>
      </w:r>
    </w:p>
    <w:p w14:paraId="77FB87B0" w14:textId="6FE0A619" w:rsidR="00A0293E" w:rsidRPr="00D15AEB" w:rsidRDefault="00BD433C" w:rsidP="00D15AEB">
      <w:pPr>
        <w:ind w:firstLine="720"/>
        <w:rPr>
          <w:szCs w:val="24"/>
        </w:rPr>
      </w:pPr>
      <w:r w:rsidRPr="00D15AEB">
        <w:rPr>
          <w:szCs w:val="24"/>
        </w:rPr>
        <w:t>In their essays and interviews, Morrison, Walker, and Bruchac each identify one ancestor who is most likely Indigenous but where no continuous connection to a tribe, nation, or community was maintained.</w:t>
      </w:r>
      <w:r w:rsidR="00707248" w:rsidRPr="00D15AEB">
        <w:rPr>
          <w:b/>
          <w:bCs/>
          <w:szCs w:val="24"/>
        </w:rPr>
        <w:t xml:space="preserve"> </w:t>
      </w:r>
      <w:r w:rsidR="00707248" w:rsidRPr="00D15AEB">
        <w:rPr>
          <w:szCs w:val="24"/>
        </w:rPr>
        <w:t>T</w:t>
      </w:r>
      <w:r w:rsidRPr="00D15AEB">
        <w:rPr>
          <w:szCs w:val="24"/>
        </w:rPr>
        <w:t xml:space="preserve">he presence of a Native ancestor </w:t>
      </w:r>
      <w:r w:rsidR="00707248" w:rsidRPr="00D15AEB">
        <w:rPr>
          <w:szCs w:val="24"/>
        </w:rPr>
        <w:t xml:space="preserve">without a complete narrative or paper trail to identify them </w:t>
      </w:r>
      <w:r w:rsidRPr="00D15AEB">
        <w:rPr>
          <w:szCs w:val="24"/>
        </w:rPr>
        <w:t>inspires Morrison, Walker, and Bruchac to speculate about</w:t>
      </w:r>
      <w:r w:rsidR="0081687E" w:rsidRPr="00D15AEB">
        <w:rPr>
          <w:szCs w:val="24"/>
        </w:rPr>
        <w:t xml:space="preserve"> not only</w:t>
      </w:r>
      <w:r w:rsidRPr="00D15AEB">
        <w:rPr>
          <w:szCs w:val="24"/>
        </w:rPr>
        <w:t xml:space="preserve"> this person but to ask </w:t>
      </w:r>
      <w:r w:rsidR="0081687E" w:rsidRPr="00D15AEB">
        <w:rPr>
          <w:szCs w:val="24"/>
        </w:rPr>
        <w:t xml:space="preserve">the larger questions of </w:t>
      </w:r>
      <w:r w:rsidRPr="00D15AEB">
        <w:rPr>
          <w:szCs w:val="24"/>
        </w:rPr>
        <w:t xml:space="preserve">what it means to have ancestors who </w:t>
      </w:r>
      <w:r w:rsidR="00707248" w:rsidRPr="00D15AEB">
        <w:rPr>
          <w:szCs w:val="24"/>
        </w:rPr>
        <w:t>have been</w:t>
      </w:r>
      <w:r w:rsidRPr="00D15AEB">
        <w:rPr>
          <w:szCs w:val="24"/>
        </w:rPr>
        <w:t xml:space="preserve"> lost, and </w:t>
      </w:r>
      <w:r w:rsidR="0081687E" w:rsidRPr="00D15AEB">
        <w:rPr>
          <w:szCs w:val="24"/>
        </w:rPr>
        <w:t>how it might be possible (or not)</w:t>
      </w:r>
      <w:r w:rsidRPr="00D15AEB">
        <w:rPr>
          <w:szCs w:val="24"/>
        </w:rPr>
        <w:t xml:space="preserve"> t</w:t>
      </w:r>
      <w:r w:rsidR="0081687E" w:rsidRPr="00D15AEB">
        <w:rPr>
          <w:szCs w:val="24"/>
        </w:rPr>
        <w:t>o</w:t>
      </w:r>
      <w:r w:rsidRPr="00D15AEB">
        <w:rPr>
          <w:szCs w:val="24"/>
        </w:rPr>
        <w:t xml:space="preserve"> know them.</w:t>
      </w:r>
    </w:p>
    <w:p w14:paraId="5D2F1260" w14:textId="78F5F593" w:rsidR="009F2079" w:rsidRPr="00D15AEB" w:rsidRDefault="0081687E" w:rsidP="00D15AEB">
      <w:pPr>
        <w:ind w:firstLine="720"/>
        <w:rPr>
          <w:szCs w:val="24"/>
        </w:rPr>
      </w:pPr>
      <w:r w:rsidRPr="00D15AEB">
        <w:rPr>
          <w:szCs w:val="24"/>
        </w:rPr>
        <w:t xml:space="preserve">While the differing identity claims of these three writers </w:t>
      </w:r>
      <w:r w:rsidR="00707248" w:rsidRPr="00D15AEB">
        <w:rPr>
          <w:szCs w:val="24"/>
        </w:rPr>
        <w:t>are</w:t>
      </w:r>
      <w:r w:rsidRPr="00D15AEB">
        <w:rPr>
          <w:szCs w:val="24"/>
        </w:rPr>
        <w:t xml:space="preserve"> related to the content of the ancestral speculation they practice, I want to intentionally leave th</w:t>
      </w:r>
      <w:r w:rsidR="00613B3C" w:rsidRPr="00D15AEB">
        <w:rPr>
          <w:szCs w:val="24"/>
        </w:rPr>
        <w:t>ose</w:t>
      </w:r>
      <w:r w:rsidRPr="00D15AEB">
        <w:rPr>
          <w:szCs w:val="24"/>
        </w:rPr>
        <w:t xml:space="preserve"> </w:t>
      </w:r>
      <w:r w:rsidR="00DE6A7D" w:rsidRPr="00D15AEB">
        <w:rPr>
          <w:szCs w:val="24"/>
        </w:rPr>
        <w:t xml:space="preserve">identity </w:t>
      </w:r>
      <w:r w:rsidRPr="00D15AEB">
        <w:rPr>
          <w:szCs w:val="24"/>
        </w:rPr>
        <w:t xml:space="preserve">debates for another time and place to instead focus on how each writer handles the larger, and specifically American, questions of </w:t>
      </w:r>
      <w:r w:rsidR="00613B3C" w:rsidRPr="00D15AEB">
        <w:rPr>
          <w:szCs w:val="24"/>
        </w:rPr>
        <w:t>what to do with</w:t>
      </w:r>
      <w:r w:rsidRPr="00D15AEB">
        <w:rPr>
          <w:szCs w:val="24"/>
        </w:rPr>
        <w:t xml:space="preserve"> ancestors who have gotten lost and how fiction and poetry might be ways to </w:t>
      </w:r>
      <w:r w:rsidR="00240629" w:rsidRPr="00D15AEB">
        <w:rPr>
          <w:szCs w:val="24"/>
        </w:rPr>
        <w:t>figure out who they might have been</w:t>
      </w:r>
      <w:r w:rsidRPr="00D15AEB">
        <w:rPr>
          <w:szCs w:val="24"/>
        </w:rPr>
        <w:t>.</w:t>
      </w:r>
      <w:r w:rsidR="009F2079" w:rsidRPr="00D15AEB">
        <w:rPr>
          <w:szCs w:val="24"/>
        </w:rPr>
        <w:t xml:space="preserve"> </w:t>
      </w:r>
      <w:r w:rsidRPr="00D15AEB">
        <w:rPr>
          <w:szCs w:val="24"/>
        </w:rPr>
        <w:t xml:space="preserve">Interestingly, </w:t>
      </w:r>
      <w:r w:rsidR="009F2079" w:rsidRPr="00D15AEB">
        <w:rPr>
          <w:szCs w:val="24"/>
        </w:rPr>
        <w:t xml:space="preserve">they </w:t>
      </w:r>
      <w:r w:rsidRPr="00D15AEB">
        <w:rPr>
          <w:szCs w:val="24"/>
        </w:rPr>
        <w:t xml:space="preserve">all </w:t>
      </w:r>
      <w:r w:rsidR="009F2079" w:rsidRPr="00D15AEB">
        <w:rPr>
          <w:szCs w:val="24"/>
        </w:rPr>
        <w:t xml:space="preserve">publish their respective first instances of </w:t>
      </w:r>
      <w:r w:rsidRPr="00D15AEB">
        <w:rPr>
          <w:szCs w:val="24"/>
        </w:rPr>
        <w:t>speculative ancestry</w:t>
      </w:r>
      <w:r w:rsidR="009F2079" w:rsidRPr="00D15AEB">
        <w:rPr>
          <w:szCs w:val="24"/>
        </w:rPr>
        <w:t xml:space="preserve"> around the time of the US Bicentennial of the American Revolution</w:t>
      </w:r>
      <w:r w:rsidR="00243E44" w:rsidRPr="00D15AEB">
        <w:rPr>
          <w:szCs w:val="24"/>
        </w:rPr>
        <w:t>, as it was then called,</w:t>
      </w:r>
      <w:r w:rsidR="009F2079" w:rsidRPr="00D15AEB">
        <w:rPr>
          <w:szCs w:val="24"/>
        </w:rPr>
        <w:t xml:space="preserve"> in 1976. The commemoration of the bicentennial had a significant effect on US literary production in ways that remain understudied. The celebratory narratives </w:t>
      </w:r>
      <w:r w:rsidR="00F7265E" w:rsidRPr="00D15AEB">
        <w:rPr>
          <w:szCs w:val="24"/>
        </w:rPr>
        <w:t>of founding myths coming from “official” channels inspired counternarratives, both voluntary and commissioned.</w:t>
      </w:r>
    </w:p>
    <w:p w14:paraId="40201E09" w14:textId="6B9C5BCB" w:rsidR="00F7265E" w:rsidRPr="00D15AEB" w:rsidRDefault="007016BB" w:rsidP="00D15AEB">
      <w:pPr>
        <w:ind w:firstLine="720"/>
        <w:rPr>
          <w:szCs w:val="24"/>
        </w:rPr>
      </w:pPr>
      <w:r w:rsidRPr="00D15AEB">
        <w:rPr>
          <w:szCs w:val="24"/>
        </w:rPr>
        <w:t xml:space="preserve">Toni </w:t>
      </w:r>
      <w:r w:rsidR="00F7265E" w:rsidRPr="00D15AEB">
        <w:rPr>
          <w:szCs w:val="24"/>
        </w:rPr>
        <w:t xml:space="preserve">Morrison </w:t>
      </w:r>
      <w:r w:rsidRPr="00D15AEB">
        <w:rPr>
          <w:szCs w:val="24"/>
        </w:rPr>
        <w:t>wrote one such counternarrative.</w:t>
      </w:r>
      <w:r w:rsidR="00240629" w:rsidRPr="00D15AEB">
        <w:rPr>
          <w:szCs w:val="24"/>
        </w:rPr>
        <w:t xml:space="preserve"> </w:t>
      </w:r>
      <w:r w:rsidRPr="00D15AEB">
        <w:rPr>
          <w:szCs w:val="24"/>
        </w:rPr>
        <w:t xml:space="preserve">She </w:t>
      </w:r>
      <w:r w:rsidR="00F7265E" w:rsidRPr="00D15AEB">
        <w:rPr>
          <w:szCs w:val="24"/>
        </w:rPr>
        <w:t xml:space="preserve">opens </w:t>
      </w:r>
      <w:r w:rsidRPr="00D15AEB">
        <w:rPr>
          <w:szCs w:val="24"/>
        </w:rPr>
        <w:t>her</w:t>
      </w:r>
      <w:r w:rsidR="00F7265E" w:rsidRPr="00D15AEB">
        <w:rPr>
          <w:szCs w:val="24"/>
        </w:rPr>
        <w:t xml:space="preserve"> essay for the July 4</w:t>
      </w:r>
      <w:r w:rsidR="00842EE1" w:rsidRPr="00D15AEB">
        <w:rPr>
          <w:szCs w:val="24"/>
          <w:vertAlign w:val="superscript"/>
        </w:rPr>
        <w:t>th</w:t>
      </w:r>
      <w:r w:rsidR="00F7265E" w:rsidRPr="00D15AEB">
        <w:rPr>
          <w:szCs w:val="24"/>
        </w:rPr>
        <w:t xml:space="preserve">, </w:t>
      </w:r>
      <w:proofErr w:type="gramStart"/>
      <w:r w:rsidR="00F7265E" w:rsidRPr="00D15AEB">
        <w:rPr>
          <w:szCs w:val="24"/>
        </w:rPr>
        <w:t>1976</w:t>
      </w:r>
      <w:proofErr w:type="gramEnd"/>
      <w:r w:rsidR="00F7265E" w:rsidRPr="00D15AEB">
        <w:rPr>
          <w:szCs w:val="24"/>
        </w:rPr>
        <w:t xml:space="preserve"> </w:t>
      </w:r>
      <w:r w:rsidR="00243E44" w:rsidRPr="00D15AEB">
        <w:rPr>
          <w:szCs w:val="24"/>
        </w:rPr>
        <w:t xml:space="preserve">bicentennial </w:t>
      </w:r>
      <w:r w:rsidR="00F7265E" w:rsidRPr="00D15AEB">
        <w:rPr>
          <w:szCs w:val="24"/>
        </w:rPr>
        <w:t xml:space="preserve">issue of the </w:t>
      </w:r>
      <w:r w:rsidR="00F7265E" w:rsidRPr="00D15AEB">
        <w:rPr>
          <w:i/>
          <w:iCs/>
          <w:szCs w:val="24"/>
        </w:rPr>
        <w:t xml:space="preserve">New York Times Magazine </w:t>
      </w:r>
      <w:r w:rsidR="00F7265E" w:rsidRPr="00D15AEB">
        <w:rPr>
          <w:szCs w:val="24"/>
        </w:rPr>
        <w:t>with her only explicit mention of</w:t>
      </w:r>
      <w:r w:rsidR="00362CEF" w:rsidRPr="00D15AEB">
        <w:rPr>
          <w:szCs w:val="24"/>
        </w:rPr>
        <w:t xml:space="preserve"> </w:t>
      </w:r>
      <w:r w:rsidR="00243E44" w:rsidRPr="00D15AEB">
        <w:rPr>
          <w:szCs w:val="24"/>
        </w:rPr>
        <w:t xml:space="preserve">her Native ancestor, describing </w:t>
      </w:r>
      <w:r w:rsidR="00362CEF" w:rsidRPr="00D15AEB">
        <w:rPr>
          <w:szCs w:val="24"/>
        </w:rPr>
        <w:t>how</w:t>
      </w:r>
      <w:r w:rsidR="00F7265E" w:rsidRPr="00D15AEB">
        <w:rPr>
          <w:szCs w:val="24"/>
        </w:rPr>
        <w:t xml:space="preserve"> her maternal grandfather “lost all </w:t>
      </w:r>
      <w:r w:rsidR="00676718" w:rsidRPr="00D15AEB">
        <w:rPr>
          <w:szCs w:val="24"/>
        </w:rPr>
        <w:t>88</w:t>
      </w:r>
      <w:r w:rsidR="00F7265E" w:rsidRPr="00D15AEB">
        <w:rPr>
          <w:szCs w:val="24"/>
        </w:rPr>
        <w:t xml:space="preserve"> acres of his Indian mother’s inheritance to legal predators”</w:t>
      </w:r>
      <w:r w:rsidR="00240629" w:rsidRPr="00D15AEB">
        <w:rPr>
          <w:szCs w:val="24"/>
        </w:rPr>
        <w:t xml:space="preserve"> (105)</w:t>
      </w:r>
      <w:r w:rsidR="00D15AEB">
        <w:rPr>
          <w:szCs w:val="24"/>
        </w:rPr>
        <w:t>.</w:t>
      </w:r>
      <w:r w:rsidR="00362CEF" w:rsidRPr="00D15AEB">
        <w:rPr>
          <w:szCs w:val="24"/>
        </w:rPr>
        <w:t xml:space="preserve"> The next year, 1977, Morrison published </w:t>
      </w:r>
      <w:r w:rsidR="00362CEF" w:rsidRPr="00D15AEB">
        <w:rPr>
          <w:i/>
          <w:iCs/>
          <w:szCs w:val="24"/>
        </w:rPr>
        <w:t>Song of Solomon</w:t>
      </w:r>
      <w:r w:rsidR="00362CEF" w:rsidRPr="00D15AEB">
        <w:rPr>
          <w:szCs w:val="24"/>
        </w:rPr>
        <w:t xml:space="preserve">, </w:t>
      </w:r>
      <w:r w:rsidR="00362CEF" w:rsidRPr="00D15AEB">
        <w:rPr>
          <w:szCs w:val="24"/>
        </w:rPr>
        <w:lastRenderedPageBreak/>
        <w:t xml:space="preserve">her third novel and the first to deal directly with ancestry. The protagonist Milkman learns that his grandmother was an Indian from the mountains of Viriginia. Milkman speculates how his grandparents might have moved from those mountains to Pennsylvania, but Morrison does not speculate which tribe her character might have been part of. This omission, along with peripheralization of Native characters in a later novel, leads scholar Craig Womack to read Morrison’s speculative ancestry as minimizing Native specificity and presence. While perpetuating false narratives of absence is certainly a potential pitfall of speculative ancestry, I think the reasons for Morrison’s thinly drawn Native characters are more complicated than disinterest or ignorance. She includes Native ancestors in her fiction because she knows they are there (historically and in her own family), but her method of moving from </w:t>
      </w:r>
      <w:proofErr w:type="gramStart"/>
      <w:r w:rsidR="00362CEF" w:rsidRPr="00D15AEB">
        <w:rPr>
          <w:szCs w:val="24"/>
        </w:rPr>
        <w:t>the biographical</w:t>
      </w:r>
      <w:proofErr w:type="gramEnd"/>
      <w:r w:rsidR="00362CEF" w:rsidRPr="00D15AEB">
        <w:rPr>
          <w:szCs w:val="24"/>
        </w:rPr>
        <w:t xml:space="preserve"> and </w:t>
      </w:r>
      <w:proofErr w:type="gramStart"/>
      <w:r w:rsidR="00362CEF" w:rsidRPr="00D15AEB">
        <w:rPr>
          <w:szCs w:val="24"/>
        </w:rPr>
        <w:t>the historical</w:t>
      </w:r>
      <w:proofErr w:type="gramEnd"/>
      <w:r w:rsidR="00362CEF" w:rsidRPr="00D15AEB">
        <w:rPr>
          <w:szCs w:val="24"/>
        </w:rPr>
        <w:t xml:space="preserve"> to </w:t>
      </w:r>
      <w:proofErr w:type="gramStart"/>
      <w:r w:rsidR="00362CEF" w:rsidRPr="00D15AEB">
        <w:rPr>
          <w:szCs w:val="24"/>
        </w:rPr>
        <w:t>the fictional</w:t>
      </w:r>
      <w:proofErr w:type="gramEnd"/>
      <w:r w:rsidR="00362CEF" w:rsidRPr="00D15AEB">
        <w:rPr>
          <w:szCs w:val="24"/>
        </w:rPr>
        <w:t xml:space="preserve"> does not allow her to go further than a sketch.</w:t>
      </w:r>
    </w:p>
    <w:p w14:paraId="61DD92CD" w14:textId="06A9B513" w:rsidR="00362CEF" w:rsidRPr="00D15AEB" w:rsidRDefault="00DF74E9" w:rsidP="00656A62">
      <w:pPr>
        <w:ind w:firstLine="720"/>
        <w:rPr>
          <w:szCs w:val="24"/>
        </w:rPr>
      </w:pPr>
      <w:r w:rsidRPr="00D15AEB">
        <w:rPr>
          <w:szCs w:val="24"/>
        </w:rPr>
        <w:t xml:space="preserve">In </w:t>
      </w:r>
      <w:r w:rsidR="00640590" w:rsidRPr="00D15AEB">
        <w:rPr>
          <w:szCs w:val="24"/>
        </w:rPr>
        <w:t>her</w:t>
      </w:r>
      <w:r w:rsidRPr="00D15AEB">
        <w:rPr>
          <w:szCs w:val="24"/>
        </w:rPr>
        <w:t xml:space="preserve"> 1987 essay</w:t>
      </w:r>
      <w:r w:rsidR="00640590" w:rsidRPr="00D15AEB">
        <w:rPr>
          <w:szCs w:val="24"/>
        </w:rPr>
        <w:t xml:space="preserve"> “The Site of Memory</w:t>
      </w:r>
      <w:r w:rsidRPr="00D15AEB">
        <w:rPr>
          <w:szCs w:val="24"/>
        </w:rPr>
        <w:t>,</w:t>
      </w:r>
      <w:r w:rsidR="00640590" w:rsidRPr="00D15AEB">
        <w:rPr>
          <w:szCs w:val="24"/>
        </w:rPr>
        <w:t>”</w:t>
      </w:r>
      <w:r w:rsidRPr="00D15AEB">
        <w:rPr>
          <w:szCs w:val="24"/>
        </w:rPr>
        <w:t xml:space="preserve"> Morrison refines </w:t>
      </w:r>
      <w:r w:rsidR="0083307D" w:rsidRPr="00D15AEB">
        <w:rPr>
          <w:szCs w:val="24"/>
        </w:rPr>
        <w:t>descriptions of her fictional method that she has given</w:t>
      </w:r>
      <w:r w:rsidRPr="00D15AEB">
        <w:rPr>
          <w:szCs w:val="24"/>
        </w:rPr>
        <w:t xml:space="preserve"> in her metaliterary commentary since 197</w:t>
      </w:r>
      <w:r w:rsidR="00153A1E" w:rsidRPr="00D15AEB">
        <w:rPr>
          <w:szCs w:val="24"/>
        </w:rPr>
        <w:t>1 to call her method quote “literary archeology:</w:t>
      </w:r>
      <w:r w:rsidR="00640590" w:rsidRPr="00D15AEB">
        <w:rPr>
          <w:szCs w:val="24"/>
        </w:rPr>
        <w:t xml:space="preserve"> on the basis of some information and a little bit of guesswork you journey to a site to see what remains were left behind and to reconstruct the world that these remains imply.” Morrison’s “deadly serious fidelity to the </w:t>
      </w:r>
      <w:r w:rsidR="00CC677A" w:rsidRPr="00D15AEB">
        <w:rPr>
          <w:szCs w:val="24"/>
        </w:rPr>
        <w:t>milieu out of which I write and in which my ancestors actually lived” means that “If I’m looking to find and expose a truth about the interior life of people who didn’t write it […] to fill in the blanks the slave narratives left […] to implement the stories that I heard, then the approach that’s the […] most trustworthy is the recollection that moves from the image to the text”</w:t>
      </w:r>
      <w:r w:rsidR="00240629" w:rsidRPr="00D15AEB">
        <w:rPr>
          <w:szCs w:val="24"/>
        </w:rPr>
        <w:t xml:space="preserve"> (</w:t>
      </w:r>
      <w:r w:rsidR="00656A62">
        <w:rPr>
          <w:i/>
          <w:iCs/>
          <w:szCs w:val="24"/>
        </w:rPr>
        <w:t xml:space="preserve">What Moves </w:t>
      </w:r>
      <w:r w:rsidR="00240629" w:rsidRPr="00D15AEB">
        <w:rPr>
          <w:szCs w:val="24"/>
        </w:rPr>
        <w:t>72).</w:t>
      </w:r>
    </w:p>
    <w:p w14:paraId="3AD39022" w14:textId="1F448106" w:rsidR="00CC677A" w:rsidRPr="00D15AEB" w:rsidRDefault="00CC677A" w:rsidP="00656A62">
      <w:pPr>
        <w:ind w:firstLine="720"/>
        <w:rPr>
          <w:szCs w:val="24"/>
        </w:rPr>
      </w:pPr>
      <w:r w:rsidRPr="00D15AEB">
        <w:rPr>
          <w:szCs w:val="24"/>
        </w:rPr>
        <w:t xml:space="preserve">Even though fiction is imagining, it is imagining using materials—textures, gestures, tones, moods—that Morrison knows to be </w:t>
      </w:r>
      <w:r w:rsidRPr="00D15AEB">
        <w:rPr>
          <w:i/>
          <w:iCs/>
          <w:szCs w:val="24"/>
        </w:rPr>
        <w:t>true</w:t>
      </w:r>
      <w:r w:rsidRPr="00D15AEB">
        <w:rPr>
          <w:szCs w:val="24"/>
        </w:rPr>
        <w:t xml:space="preserve">. Because Indigenous ancestors were only thinly sketched in family stories, not part of the “milieu” that raised her, Morrison has no truth from which to </w:t>
      </w:r>
      <w:r w:rsidR="008D4E83" w:rsidRPr="00D15AEB">
        <w:rPr>
          <w:szCs w:val="24"/>
        </w:rPr>
        <w:t xml:space="preserve">“reconstruct the world” that those Native remains imply. </w:t>
      </w:r>
    </w:p>
    <w:p w14:paraId="3B093CB3" w14:textId="72FB5330" w:rsidR="008D4E83" w:rsidRPr="00D15AEB" w:rsidRDefault="008D4E83" w:rsidP="00656A62">
      <w:pPr>
        <w:ind w:firstLine="720"/>
        <w:rPr>
          <w:szCs w:val="24"/>
        </w:rPr>
      </w:pPr>
      <w:r w:rsidRPr="00D15AEB">
        <w:rPr>
          <w:szCs w:val="24"/>
        </w:rPr>
        <w:t xml:space="preserve">Additionally, when Morrison began publishing fiction in 1970, her work was correcting what she saw as two major problems: Black male novelists writing in an explanatory valence for white readers, and the Black Power/Arts/Studies movements going back </w:t>
      </w:r>
      <w:r w:rsidR="004C0D87" w:rsidRPr="00D15AEB">
        <w:rPr>
          <w:szCs w:val="24"/>
        </w:rPr>
        <w:t xml:space="preserve">two thousand </w:t>
      </w:r>
      <w:r w:rsidRPr="00D15AEB">
        <w:rPr>
          <w:szCs w:val="24"/>
        </w:rPr>
        <w:t>years to ancient African history to pick and choose appealing myths while ignoring the intervening millennia of lived experience.</w:t>
      </w:r>
      <w:r w:rsidR="008E7552" w:rsidRPr="00D15AEB">
        <w:rPr>
          <w:szCs w:val="24"/>
        </w:rPr>
        <w:t xml:space="preserve"> </w:t>
      </w:r>
      <w:r w:rsidRPr="00D15AEB">
        <w:rPr>
          <w:szCs w:val="24"/>
        </w:rPr>
        <w:t xml:space="preserve">“To </w:t>
      </w:r>
      <w:r w:rsidR="00842EE1" w:rsidRPr="00D15AEB">
        <w:rPr>
          <w:szCs w:val="24"/>
        </w:rPr>
        <w:t>deliberately create a</w:t>
      </w:r>
      <w:r w:rsidRPr="00D15AEB">
        <w:rPr>
          <w:szCs w:val="24"/>
        </w:rPr>
        <w:t xml:space="preserve"> myth,” she writes in 1974, “is a contradiction in terms. A myth</w:t>
      </w:r>
      <w:r w:rsidR="00842EE1" w:rsidRPr="00D15AEB">
        <w:rPr>
          <w:szCs w:val="24"/>
        </w:rPr>
        <w:t xml:space="preserve"> is whatever</w:t>
      </w:r>
      <w:r w:rsidRPr="00D15AEB">
        <w:rPr>
          <w:szCs w:val="24"/>
        </w:rPr>
        <w:t xml:space="preserve"> co</w:t>
      </w:r>
      <w:r w:rsidR="00BF4CEB" w:rsidRPr="00D15AEB">
        <w:rPr>
          <w:szCs w:val="24"/>
        </w:rPr>
        <w:t>ncept of truth or reality a whole people has arrived at over years of observation</w:t>
      </w:r>
      <w:r w:rsidRPr="00D15AEB">
        <w:rPr>
          <w:szCs w:val="24"/>
        </w:rPr>
        <w:t xml:space="preserve">” </w:t>
      </w:r>
      <w:r w:rsidR="00BF4CEB" w:rsidRPr="00D15AEB">
        <w:rPr>
          <w:szCs w:val="24"/>
        </w:rPr>
        <w:t>(</w:t>
      </w:r>
      <w:r w:rsidR="00656A62">
        <w:rPr>
          <w:i/>
          <w:iCs/>
          <w:szCs w:val="24"/>
        </w:rPr>
        <w:t xml:space="preserve">What Moves </w:t>
      </w:r>
      <w:r w:rsidR="00BF4CEB" w:rsidRPr="00D15AEB">
        <w:rPr>
          <w:szCs w:val="24"/>
        </w:rPr>
        <w:t xml:space="preserve">36). </w:t>
      </w:r>
      <w:r w:rsidRPr="00D15AEB">
        <w:rPr>
          <w:szCs w:val="24"/>
        </w:rPr>
        <w:t>Morrison knows these useful truths because they shaped her, and she makes it her project to tell them in fiction b</w:t>
      </w:r>
      <w:r w:rsidR="009426E1" w:rsidRPr="00D15AEB">
        <w:rPr>
          <w:szCs w:val="24"/>
        </w:rPr>
        <w:t>y</w:t>
      </w:r>
      <w:r w:rsidRPr="00D15AEB">
        <w:rPr>
          <w:szCs w:val="24"/>
        </w:rPr>
        <w:t xml:space="preserve"> moving from </w:t>
      </w:r>
      <w:r w:rsidR="00C6076A" w:rsidRPr="00D15AEB">
        <w:rPr>
          <w:szCs w:val="24"/>
        </w:rPr>
        <w:t>remaindered</w:t>
      </w:r>
      <w:r w:rsidRPr="00D15AEB">
        <w:rPr>
          <w:szCs w:val="24"/>
        </w:rPr>
        <w:t xml:space="preserve"> image</w:t>
      </w:r>
      <w:r w:rsidR="00C6076A" w:rsidRPr="00D15AEB">
        <w:rPr>
          <w:szCs w:val="24"/>
        </w:rPr>
        <w:t>s</w:t>
      </w:r>
      <w:r w:rsidRPr="00D15AEB">
        <w:rPr>
          <w:szCs w:val="24"/>
        </w:rPr>
        <w:t xml:space="preserve"> to whole world</w:t>
      </w:r>
      <w:r w:rsidR="008E7552" w:rsidRPr="00D15AEB">
        <w:rPr>
          <w:szCs w:val="24"/>
        </w:rPr>
        <w:t>s</w:t>
      </w:r>
      <w:r w:rsidRPr="00D15AEB">
        <w:rPr>
          <w:szCs w:val="24"/>
        </w:rPr>
        <w:t>.</w:t>
      </w:r>
      <w:r w:rsidR="008E7552" w:rsidRPr="00D15AEB">
        <w:rPr>
          <w:szCs w:val="24"/>
        </w:rPr>
        <w:t xml:space="preserve"> This constellation of method and motivation helps explain why Morrison’s speculative ancestry is decidedly Black.</w:t>
      </w:r>
    </w:p>
    <w:p w14:paraId="72017B3A" w14:textId="2D574BA0" w:rsidR="008D4E83" w:rsidRPr="00D15AEB" w:rsidRDefault="000F74D1" w:rsidP="00656A62">
      <w:pPr>
        <w:ind w:firstLine="720"/>
        <w:rPr>
          <w:szCs w:val="24"/>
        </w:rPr>
      </w:pPr>
      <w:r w:rsidRPr="00D15AEB">
        <w:rPr>
          <w:szCs w:val="24"/>
        </w:rPr>
        <w:t xml:space="preserve">Alice Walker beings </w:t>
      </w:r>
      <w:r w:rsidR="001B3D33" w:rsidRPr="00D15AEB">
        <w:rPr>
          <w:szCs w:val="24"/>
        </w:rPr>
        <w:t xml:space="preserve">her speculative ancestry practice in her second novel, </w:t>
      </w:r>
      <w:r w:rsidR="001B3D33" w:rsidRPr="00D15AEB">
        <w:rPr>
          <w:i/>
          <w:iCs/>
          <w:szCs w:val="24"/>
        </w:rPr>
        <w:t>Meridian</w:t>
      </w:r>
      <w:r w:rsidR="001B3D33" w:rsidRPr="00D15AEB">
        <w:rPr>
          <w:szCs w:val="24"/>
        </w:rPr>
        <w:t xml:space="preserve">, published in the bicentennial year of 1976. The protagonist Meridian’s father attempts a land-back gift of his Georgia farm to a Cherokee man, only to have the land appropriated by the government to build a segregated park. His </w:t>
      </w:r>
      <w:r w:rsidR="00E00CD5" w:rsidRPr="00D15AEB">
        <w:rPr>
          <w:szCs w:val="24"/>
        </w:rPr>
        <w:t>grand</w:t>
      </w:r>
      <w:r w:rsidR="009426E1" w:rsidRPr="00D15AEB">
        <w:rPr>
          <w:szCs w:val="24"/>
        </w:rPr>
        <w:t>mo</w:t>
      </w:r>
      <w:r w:rsidR="001B3D33" w:rsidRPr="00D15AEB">
        <w:rPr>
          <w:szCs w:val="24"/>
        </w:rPr>
        <w:t>ther</w:t>
      </w:r>
      <w:r w:rsidR="00E00CD5" w:rsidRPr="00D15AEB">
        <w:rPr>
          <w:szCs w:val="24"/>
        </w:rPr>
        <w:t xml:space="preserve"> Feather Mae</w:t>
      </w:r>
      <w:r w:rsidR="001B3D33" w:rsidRPr="00D15AEB">
        <w:rPr>
          <w:szCs w:val="24"/>
        </w:rPr>
        <w:t xml:space="preserve">, Meridian’s </w:t>
      </w:r>
      <w:r w:rsidR="00E00CD5" w:rsidRPr="00D15AEB">
        <w:rPr>
          <w:szCs w:val="24"/>
        </w:rPr>
        <w:t>great-</w:t>
      </w:r>
      <w:r w:rsidR="001B3D33" w:rsidRPr="00D15AEB">
        <w:rPr>
          <w:szCs w:val="24"/>
        </w:rPr>
        <w:t>grandmother, is implicitly described as Cherokee and she and Meridan share experiences of out-of-body visions. Walker describes the quote “Indian consciousness” of the novel in an interview a few years after it was published:</w:t>
      </w:r>
      <w:r w:rsidR="00E00CD5" w:rsidRPr="00D15AEB">
        <w:rPr>
          <w:szCs w:val="24"/>
        </w:rPr>
        <w:t xml:space="preserve"> </w:t>
      </w:r>
    </w:p>
    <w:p w14:paraId="0296AB1C" w14:textId="7CB9B044" w:rsidR="001B3D33" w:rsidRPr="00D15AEB" w:rsidRDefault="001B3D33" w:rsidP="00D15AEB">
      <w:pPr>
        <w:ind w:left="720"/>
        <w:rPr>
          <w:szCs w:val="24"/>
        </w:rPr>
      </w:pPr>
      <w:r w:rsidRPr="00D15AEB">
        <w:rPr>
          <w:szCs w:val="24"/>
        </w:rPr>
        <w:t xml:space="preserve">Sometimes I have something like visitations, and I know they come from what is Indian in me, and I don’t </w:t>
      </w:r>
      <w:r w:rsidRPr="00D15AEB">
        <w:rPr>
          <w:b/>
          <w:bCs/>
          <w:szCs w:val="24"/>
        </w:rPr>
        <w:t xml:space="preserve">necessarily </w:t>
      </w:r>
      <w:r w:rsidRPr="00D15AEB">
        <w:rPr>
          <w:szCs w:val="24"/>
        </w:rPr>
        <w:t xml:space="preserve">mean Indian blood because I’m not getting back to that; you know my grandmother was such-and-such, although </w:t>
      </w:r>
      <w:r w:rsidRPr="00D15AEB">
        <w:rPr>
          <w:b/>
          <w:bCs/>
          <w:szCs w:val="24"/>
        </w:rPr>
        <w:t>I’m sure</w:t>
      </w:r>
      <w:r w:rsidRPr="00D15AEB">
        <w:rPr>
          <w:szCs w:val="24"/>
        </w:rPr>
        <w:t xml:space="preserve"> the Cherokees were very thick with black folks in Georgia. […] In Georgia there are so many remnants of </w:t>
      </w:r>
      <w:r w:rsidRPr="00D15AEB">
        <w:rPr>
          <w:szCs w:val="24"/>
        </w:rPr>
        <w:lastRenderedPageBreak/>
        <w:t>their presence that there is a real kinship with these people who were forced off the land that was theirs.</w:t>
      </w:r>
      <w:r w:rsidR="009426E1" w:rsidRPr="00D15AEB">
        <w:rPr>
          <w:szCs w:val="24"/>
        </w:rPr>
        <w:t xml:space="preserve"> (</w:t>
      </w:r>
      <w:r w:rsidR="00656A62">
        <w:rPr>
          <w:szCs w:val="24"/>
        </w:rPr>
        <w:t xml:space="preserve">Tate </w:t>
      </w:r>
      <w:r w:rsidR="00246EF9" w:rsidRPr="00D15AEB">
        <w:rPr>
          <w:szCs w:val="24"/>
        </w:rPr>
        <w:t>179</w:t>
      </w:r>
      <w:r w:rsidR="009426E1" w:rsidRPr="00D15AEB">
        <w:rPr>
          <w:szCs w:val="24"/>
        </w:rPr>
        <w:t>)</w:t>
      </w:r>
      <w:r w:rsidR="00DE6A7D" w:rsidRPr="00D15AEB">
        <w:rPr>
          <w:szCs w:val="24"/>
        </w:rPr>
        <w:t xml:space="preserve"> </w:t>
      </w:r>
    </w:p>
    <w:p w14:paraId="5231C530" w14:textId="6E36B32C" w:rsidR="001B3D33" w:rsidRPr="00D15AEB" w:rsidRDefault="001B3D33" w:rsidP="00D15AEB">
      <w:pPr>
        <w:rPr>
          <w:szCs w:val="24"/>
        </w:rPr>
      </w:pPr>
      <w:r w:rsidRPr="00D15AEB">
        <w:rPr>
          <w:szCs w:val="24"/>
        </w:rPr>
        <w:t>This is speculative ancestry: to write the certainties of history—th</w:t>
      </w:r>
      <w:r w:rsidR="000E3A2A" w:rsidRPr="00D15AEB">
        <w:rPr>
          <w:szCs w:val="24"/>
        </w:rPr>
        <w:t>at</w:t>
      </w:r>
      <w:r w:rsidRPr="00D15AEB">
        <w:rPr>
          <w:szCs w:val="24"/>
        </w:rPr>
        <w:t xml:space="preserve"> </w:t>
      </w:r>
      <w:r w:rsidR="000E3A2A" w:rsidRPr="00D15AEB">
        <w:rPr>
          <w:szCs w:val="24"/>
        </w:rPr>
        <w:t>Cherokee and Black Georgia residents had intimate relations—and the unknown specifics of</w:t>
      </w:r>
      <w:r w:rsidR="00D139FF" w:rsidRPr="00D15AEB">
        <w:rPr>
          <w:szCs w:val="24"/>
        </w:rPr>
        <w:t xml:space="preserve"> how</w:t>
      </w:r>
      <w:r w:rsidR="000E3A2A" w:rsidRPr="00D15AEB">
        <w:rPr>
          <w:szCs w:val="24"/>
        </w:rPr>
        <w:t xml:space="preserve"> those relationships</w:t>
      </w:r>
      <w:r w:rsidR="00D139FF" w:rsidRPr="00D15AEB">
        <w:rPr>
          <w:szCs w:val="24"/>
        </w:rPr>
        <w:t xml:space="preserve"> played out within one’s own family</w:t>
      </w:r>
      <w:r w:rsidR="000E3A2A" w:rsidRPr="00D15AEB">
        <w:rPr>
          <w:szCs w:val="24"/>
        </w:rPr>
        <w:t xml:space="preserve"> into each other.</w:t>
      </w:r>
    </w:p>
    <w:p w14:paraId="0178929A" w14:textId="261C41A9" w:rsidR="001B3D33" w:rsidRPr="00D15AEB" w:rsidRDefault="001B3D33" w:rsidP="00656A62">
      <w:pPr>
        <w:ind w:firstLine="720"/>
        <w:rPr>
          <w:szCs w:val="24"/>
        </w:rPr>
      </w:pPr>
      <w:r w:rsidRPr="00D15AEB">
        <w:rPr>
          <w:szCs w:val="24"/>
        </w:rPr>
        <w:t xml:space="preserve">It takes Walker another few years to identify </w:t>
      </w:r>
      <w:r w:rsidR="00E00CD5" w:rsidRPr="00D15AEB">
        <w:rPr>
          <w:szCs w:val="24"/>
        </w:rPr>
        <w:t xml:space="preserve">in print </w:t>
      </w:r>
      <w:r w:rsidRPr="00D15AEB">
        <w:rPr>
          <w:szCs w:val="24"/>
        </w:rPr>
        <w:t xml:space="preserve">the Native ancestor in her family who inspired these fictional speculations. </w:t>
      </w:r>
      <w:r w:rsidR="00DE6A7D" w:rsidRPr="00D15AEB">
        <w:rPr>
          <w:szCs w:val="24"/>
        </w:rPr>
        <w:t xml:space="preserve">She </w:t>
      </w:r>
      <w:r w:rsidRPr="00D15AEB">
        <w:rPr>
          <w:szCs w:val="24"/>
        </w:rPr>
        <w:t>dedicates a 1984 poetry collection to the two ancestors who quote “almost slipped away:” a white great-great-grandfather who raped her eleven-year-old great-great-grandmother and her Cherokee great-</w:t>
      </w:r>
      <w:r w:rsidR="000E3A2A" w:rsidRPr="00D15AEB">
        <w:rPr>
          <w:szCs w:val="24"/>
        </w:rPr>
        <w:t>great-</w:t>
      </w:r>
      <w:r w:rsidRPr="00D15AEB">
        <w:rPr>
          <w:szCs w:val="24"/>
        </w:rPr>
        <w:t>grandmother Tallulah</w:t>
      </w:r>
      <w:r w:rsidR="006F77EF">
        <w:rPr>
          <w:szCs w:val="24"/>
        </w:rPr>
        <w:t xml:space="preserve"> (</w:t>
      </w:r>
      <w:r w:rsidR="006F77EF">
        <w:rPr>
          <w:i/>
          <w:iCs/>
          <w:szCs w:val="24"/>
        </w:rPr>
        <w:t>Horses</w:t>
      </w:r>
      <w:r w:rsidR="006F77EF">
        <w:rPr>
          <w:szCs w:val="24"/>
        </w:rPr>
        <w:t xml:space="preserve"> frontmatter)</w:t>
      </w:r>
      <w:r w:rsidRPr="00D15AEB">
        <w:rPr>
          <w:szCs w:val="24"/>
        </w:rPr>
        <w:t xml:space="preserve">. </w:t>
      </w:r>
      <w:r w:rsidR="000E3A2A" w:rsidRPr="00D15AEB">
        <w:rPr>
          <w:szCs w:val="24"/>
        </w:rPr>
        <w:t>In a 1987 essay</w:t>
      </w:r>
      <w:r w:rsidR="00241D21" w:rsidRPr="00D15AEB">
        <w:rPr>
          <w:szCs w:val="24"/>
        </w:rPr>
        <w:t xml:space="preserve">, </w:t>
      </w:r>
      <w:r w:rsidR="000E3A2A" w:rsidRPr="00D15AEB">
        <w:rPr>
          <w:szCs w:val="24"/>
        </w:rPr>
        <w:t xml:space="preserve">she articulates the process of letting these complicated, and complicating, ancestors into her </w:t>
      </w:r>
      <w:r w:rsidR="00D139FF" w:rsidRPr="00D15AEB">
        <w:rPr>
          <w:szCs w:val="24"/>
        </w:rPr>
        <w:t>consciousness</w:t>
      </w:r>
      <w:r w:rsidR="000E3A2A" w:rsidRPr="00D15AEB">
        <w:rPr>
          <w:szCs w:val="24"/>
        </w:rPr>
        <w:t>, and</w:t>
      </w:r>
      <w:r w:rsidR="00D139FF" w:rsidRPr="00D15AEB">
        <w:rPr>
          <w:szCs w:val="24"/>
        </w:rPr>
        <w:t>, therefore,</w:t>
      </w:r>
      <w:r w:rsidR="000E3A2A" w:rsidRPr="00D15AEB">
        <w:rPr>
          <w:szCs w:val="24"/>
        </w:rPr>
        <w:t xml:space="preserve"> also into her writing:</w:t>
      </w:r>
    </w:p>
    <w:p w14:paraId="49899754" w14:textId="5D696549" w:rsidR="000E3A2A" w:rsidRPr="00D15AEB" w:rsidRDefault="000E3A2A" w:rsidP="00D15AEB">
      <w:pPr>
        <w:ind w:left="720"/>
        <w:rPr>
          <w:szCs w:val="24"/>
        </w:rPr>
      </w:pPr>
      <w:r w:rsidRPr="00D15AEB">
        <w:rPr>
          <w:szCs w:val="24"/>
        </w:rPr>
        <w:t>I opened the heart of my soul, and there, with the Africans, are the Indian great-great-grandmother and the old white child molester and rapist (</w:t>
      </w:r>
      <w:r w:rsidR="006F77EF">
        <w:rPr>
          <w:i/>
          <w:iCs/>
          <w:szCs w:val="24"/>
        </w:rPr>
        <w:t xml:space="preserve">Living </w:t>
      </w:r>
      <w:r w:rsidRPr="00D15AEB">
        <w:rPr>
          <w:szCs w:val="24"/>
        </w:rPr>
        <w:t>85). […] It is my blackness (not my skin color so much as the culture that nurtured me) that causes me to open myself, acknowledge my soul and its varied components, take risks, affirm everyone I can find (89).</w:t>
      </w:r>
    </w:p>
    <w:p w14:paraId="005E009C" w14:textId="2F5F78AA" w:rsidR="000E3A2A" w:rsidRPr="00D15AEB" w:rsidRDefault="000E3A2A" w:rsidP="00D15AEB">
      <w:pPr>
        <w:rPr>
          <w:szCs w:val="24"/>
        </w:rPr>
      </w:pPr>
      <w:r w:rsidRPr="00D15AEB">
        <w:rPr>
          <w:szCs w:val="24"/>
        </w:rPr>
        <w:t xml:space="preserve">Where Morrison’s speculative ancestry asks “what were the myths, the functional values, Black people found useful for surviving enslavement and emancipation in the Americas?,” Walker’s asks “what does it mean to have </w:t>
      </w:r>
      <w:r w:rsidRPr="00D15AEB">
        <w:rPr>
          <w:i/>
          <w:iCs/>
          <w:szCs w:val="24"/>
        </w:rPr>
        <w:t>both</w:t>
      </w:r>
      <w:r w:rsidRPr="00D15AEB">
        <w:rPr>
          <w:szCs w:val="24"/>
        </w:rPr>
        <w:t xml:space="preserve"> the violent conflict of Black-white property relations </w:t>
      </w:r>
      <w:r w:rsidRPr="00D15AEB">
        <w:rPr>
          <w:i/>
          <w:iCs/>
          <w:szCs w:val="24"/>
        </w:rPr>
        <w:t>and</w:t>
      </w:r>
      <w:r w:rsidRPr="00D15AEB">
        <w:rPr>
          <w:szCs w:val="24"/>
        </w:rPr>
        <w:t xml:space="preserve"> the sustaining alliances of Black-Native relations</w:t>
      </w:r>
      <w:r w:rsidR="003E14A6" w:rsidRPr="00D15AEB">
        <w:rPr>
          <w:szCs w:val="24"/>
        </w:rPr>
        <w:t xml:space="preserve"> </w:t>
      </w:r>
      <w:r w:rsidR="003E14A6" w:rsidRPr="00D15AEB">
        <w:rPr>
          <w:i/>
          <w:iCs/>
          <w:szCs w:val="24"/>
        </w:rPr>
        <w:t>together</w:t>
      </w:r>
      <w:r w:rsidRPr="00D15AEB">
        <w:rPr>
          <w:szCs w:val="24"/>
        </w:rPr>
        <w:t xml:space="preserve"> as one’s bodily inheritance?”</w:t>
      </w:r>
      <w:r w:rsidR="000411A1" w:rsidRPr="00D15AEB">
        <w:rPr>
          <w:szCs w:val="24"/>
        </w:rPr>
        <w:t xml:space="preserve"> Both are the generative, open-ended inquiry that literary speculative ancestry invites.</w:t>
      </w:r>
    </w:p>
    <w:p w14:paraId="14640F6B" w14:textId="16434D19" w:rsidR="00725926" w:rsidRPr="00D15AEB" w:rsidRDefault="009A195D" w:rsidP="006F77EF">
      <w:pPr>
        <w:ind w:firstLine="720"/>
        <w:rPr>
          <w:szCs w:val="24"/>
        </w:rPr>
      </w:pPr>
      <w:r w:rsidRPr="00D15AEB">
        <w:rPr>
          <w:szCs w:val="24"/>
        </w:rPr>
        <w:t xml:space="preserve">Walker’s equitable inclusion of all her ancestors </w:t>
      </w:r>
      <w:r w:rsidR="00241D21" w:rsidRPr="00D15AEB">
        <w:rPr>
          <w:szCs w:val="24"/>
        </w:rPr>
        <w:t xml:space="preserve">in her fiction and poetry </w:t>
      </w:r>
      <w:r w:rsidRPr="00D15AEB">
        <w:rPr>
          <w:szCs w:val="24"/>
        </w:rPr>
        <w:t>can be illustrated with what I call an ancestor wheel. I found this document in my own European settler colonial family’s archives. Part of the reason I’m sharing it is because I’m curious if others have seen genealogy represented in a similar way. While this design does not account for siblings, it does away with the linear</w:t>
      </w:r>
      <w:r w:rsidR="0054217B" w:rsidRPr="00D15AEB">
        <w:rPr>
          <w:szCs w:val="24"/>
        </w:rPr>
        <w:t xml:space="preserve">ity </w:t>
      </w:r>
      <w:r w:rsidRPr="00D15AEB">
        <w:rPr>
          <w:szCs w:val="24"/>
        </w:rPr>
        <w:t>of family “trees</w:t>
      </w:r>
      <w:r w:rsidR="0054217B" w:rsidRPr="00D15AEB">
        <w:rPr>
          <w:szCs w:val="24"/>
        </w:rPr>
        <w:t>.</w:t>
      </w:r>
      <w:r w:rsidR="006F77EF">
        <w:rPr>
          <w:szCs w:val="24"/>
        </w:rPr>
        <w:t>”</w:t>
      </w:r>
      <w:r w:rsidRPr="00D15AEB">
        <w:rPr>
          <w:szCs w:val="24"/>
        </w:rPr>
        <w:t xml:space="preserve"> Often one “side” of our family dominates the stories we tell ourselves and each other about who we are</w:t>
      </w:r>
      <w:r w:rsidR="00854599" w:rsidRPr="00D15AEB">
        <w:rPr>
          <w:szCs w:val="24"/>
        </w:rPr>
        <w:t xml:space="preserve"> and where we come from</w:t>
      </w:r>
      <w:r w:rsidRPr="00D15AEB">
        <w:rPr>
          <w:szCs w:val="24"/>
        </w:rPr>
        <w:t>, but the circle shows ancestors without sides, with only generations of concentric embrace.</w:t>
      </w:r>
    </w:p>
    <w:p w14:paraId="128C0F4C" w14:textId="2EF163C4" w:rsidR="00E16FD6" w:rsidRPr="00D15AEB" w:rsidRDefault="00211C89" w:rsidP="006F77EF">
      <w:pPr>
        <w:ind w:firstLine="720"/>
        <w:rPr>
          <w:szCs w:val="24"/>
        </w:rPr>
      </w:pPr>
      <w:r w:rsidRPr="00D15AEB">
        <w:rPr>
          <w:szCs w:val="24"/>
        </w:rPr>
        <w:t>Walker’s speculative pitfall is that she tends to wax metaphysical about this embrace; her depictions of Native characters and references to Native traditions lean towards pan-Indigenous flattening and essentialism. (For example, the Cherokee sacred serpent burial mound</w:t>
      </w:r>
      <w:r w:rsidR="002A3B82" w:rsidRPr="00D15AEB">
        <w:rPr>
          <w:szCs w:val="24"/>
        </w:rPr>
        <w:t xml:space="preserve"> in </w:t>
      </w:r>
      <w:r w:rsidR="002A3B82" w:rsidRPr="00D15AEB">
        <w:rPr>
          <w:i/>
          <w:iCs/>
          <w:szCs w:val="24"/>
        </w:rPr>
        <w:t>Meridian</w:t>
      </w:r>
      <w:r w:rsidRPr="00D15AEB">
        <w:rPr>
          <w:szCs w:val="24"/>
        </w:rPr>
        <w:t xml:space="preserve"> has no relation to Cherokee burial practices or to earthworks of other tribes, see Chadwick Allen.)</w:t>
      </w:r>
      <w:r w:rsidR="006D18A8" w:rsidRPr="00D15AEB">
        <w:rPr>
          <w:szCs w:val="24"/>
        </w:rPr>
        <w:t xml:space="preserve"> Walker’s </w:t>
      </w:r>
      <w:r w:rsidR="00725926" w:rsidRPr="00D15AEB">
        <w:rPr>
          <w:szCs w:val="24"/>
        </w:rPr>
        <w:t xml:space="preserve">interest in her own Southeastern </w:t>
      </w:r>
      <w:r w:rsidR="006D18A8" w:rsidRPr="00D15AEB">
        <w:rPr>
          <w:szCs w:val="24"/>
        </w:rPr>
        <w:t xml:space="preserve">Cherokee ancestors </w:t>
      </w:r>
      <w:r w:rsidR="00725926" w:rsidRPr="00D15AEB">
        <w:rPr>
          <w:szCs w:val="24"/>
        </w:rPr>
        <w:t xml:space="preserve">at times collapses into her </w:t>
      </w:r>
      <w:r w:rsidR="007937CD" w:rsidRPr="00D15AEB">
        <w:rPr>
          <w:szCs w:val="24"/>
        </w:rPr>
        <w:t xml:space="preserve">broader </w:t>
      </w:r>
      <w:r w:rsidR="00725926" w:rsidRPr="00D15AEB">
        <w:rPr>
          <w:szCs w:val="24"/>
        </w:rPr>
        <w:t xml:space="preserve">interest </w:t>
      </w:r>
      <w:r w:rsidR="006D18A8" w:rsidRPr="00D15AEB">
        <w:rPr>
          <w:szCs w:val="24"/>
        </w:rPr>
        <w:t xml:space="preserve">in </w:t>
      </w:r>
      <w:r w:rsidR="00725926" w:rsidRPr="00D15AEB">
        <w:rPr>
          <w:szCs w:val="24"/>
        </w:rPr>
        <w:t>the lifeways of plains tribes, particularly the Lakota.</w:t>
      </w:r>
      <w:r w:rsidR="006D18A8" w:rsidRPr="00D15AEB">
        <w:rPr>
          <w:szCs w:val="24"/>
        </w:rPr>
        <w:t xml:space="preserve"> </w:t>
      </w:r>
    </w:p>
    <w:p w14:paraId="35B6AC8B" w14:textId="7D8D2C11" w:rsidR="009A195D" w:rsidRPr="00D15AEB" w:rsidRDefault="00E16FD6" w:rsidP="006F77EF">
      <w:pPr>
        <w:ind w:firstLine="720"/>
        <w:rPr>
          <w:szCs w:val="24"/>
        </w:rPr>
      </w:pPr>
      <w:r w:rsidRPr="00D15AEB">
        <w:rPr>
          <w:szCs w:val="24"/>
        </w:rPr>
        <w:t xml:space="preserve">The closing lines of Walker’s 1984 poem </w:t>
      </w:r>
      <w:r w:rsidR="007937CD" w:rsidRPr="00D15AEB">
        <w:rPr>
          <w:szCs w:val="24"/>
        </w:rPr>
        <w:t xml:space="preserve">that names her Cherokee great-grandmother </w:t>
      </w:r>
      <w:r w:rsidRPr="00D15AEB">
        <w:rPr>
          <w:szCs w:val="24"/>
        </w:rPr>
        <w:t>are “in me / the meaning / of our lives / is still unfolding.” This de</w:t>
      </w:r>
      <w:r w:rsidR="007937CD" w:rsidRPr="00D15AEB">
        <w:rPr>
          <w:szCs w:val="24"/>
        </w:rPr>
        <w:t>dic</w:t>
      </w:r>
      <w:r w:rsidRPr="00D15AEB">
        <w:rPr>
          <w:szCs w:val="24"/>
        </w:rPr>
        <w:t xml:space="preserve">ation invites ancestors themselves to participate in figuring </w:t>
      </w:r>
      <w:r w:rsidR="002A3B82" w:rsidRPr="00D15AEB">
        <w:rPr>
          <w:szCs w:val="24"/>
        </w:rPr>
        <w:t>out</w:t>
      </w:r>
      <w:r w:rsidR="00CF10D6" w:rsidRPr="00D15AEB">
        <w:rPr>
          <w:szCs w:val="24"/>
        </w:rPr>
        <w:t xml:space="preserve"> the </w:t>
      </w:r>
      <w:r w:rsidRPr="00D15AEB">
        <w:rPr>
          <w:szCs w:val="24"/>
        </w:rPr>
        <w:t xml:space="preserve">meaning </w:t>
      </w:r>
      <w:r w:rsidR="00CF10D6" w:rsidRPr="00D15AEB">
        <w:rPr>
          <w:szCs w:val="24"/>
        </w:rPr>
        <w:t>of their relations</w:t>
      </w:r>
      <w:r w:rsidR="002A3B82" w:rsidRPr="00D15AEB">
        <w:rPr>
          <w:szCs w:val="24"/>
        </w:rPr>
        <w:t>. T</w:t>
      </w:r>
      <w:r w:rsidRPr="00D15AEB">
        <w:rPr>
          <w:szCs w:val="24"/>
        </w:rPr>
        <w:t>he image of an ancestral circle shows not only how one individual radiates into the past, but how the embodied life of one person can be the table around which such varied relational dynamics gather to unfold themselves.</w:t>
      </w:r>
    </w:p>
    <w:p w14:paraId="6FE32FD2" w14:textId="2BE08E86" w:rsidR="00E16FD6" w:rsidRPr="00D15AEB" w:rsidRDefault="00E16FD6" w:rsidP="006F77EF">
      <w:pPr>
        <w:ind w:firstLine="720"/>
        <w:rPr>
          <w:szCs w:val="24"/>
        </w:rPr>
      </w:pPr>
      <w:r w:rsidRPr="00D15AEB">
        <w:rPr>
          <w:szCs w:val="24"/>
        </w:rPr>
        <w:t xml:space="preserve">Joseph Bruchac’s ancestral speculation asks how to initiate such conversations and reconnect chains of knowledge and community broken by time and circumstance. </w:t>
      </w:r>
      <w:r w:rsidR="00C36A36" w:rsidRPr="00D15AEB">
        <w:rPr>
          <w:szCs w:val="24"/>
        </w:rPr>
        <w:t xml:space="preserve">Beginning with his first poetry collection published in 1971, </w:t>
      </w:r>
      <w:r w:rsidRPr="00D15AEB">
        <w:rPr>
          <w:szCs w:val="24"/>
        </w:rPr>
        <w:t>Bruchac writ</w:t>
      </w:r>
      <w:r w:rsidR="00C36A36" w:rsidRPr="00D15AEB">
        <w:rPr>
          <w:szCs w:val="24"/>
        </w:rPr>
        <w:t>es</w:t>
      </w:r>
      <w:r w:rsidRPr="00D15AEB">
        <w:rPr>
          <w:szCs w:val="24"/>
        </w:rPr>
        <w:t xml:space="preserve"> about his grandfather, of whose </w:t>
      </w:r>
      <w:r w:rsidR="00C36A36" w:rsidRPr="00D15AEB">
        <w:rPr>
          <w:szCs w:val="24"/>
        </w:rPr>
        <w:t xml:space="preserve">rumored </w:t>
      </w:r>
      <w:r w:rsidRPr="00D15AEB">
        <w:rPr>
          <w:szCs w:val="24"/>
        </w:rPr>
        <w:t xml:space="preserve">Abenaki ancestry he learns through other family members just before his grandfather’s death. But it is not until </w:t>
      </w:r>
      <w:r w:rsidR="00C36A36" w:rsidRPr="00D15AEB">
        <w:rPr>
          <w:szCs w:val="24"/>
        </w:rPr>
        <w:t>1978</w:t>
      </w:r>
      <w:r w:rsidRPr="00D15AEB">
        <w:rPr>
          <w:szCs w:val="24"/>
        </w:rPr>
        <w:t xml:space="preserve"> that he begins to speculate </w:t>
      </w:r>
      <w:r w:rsidR="00C36A36" w:rsidRPr="00D15AEB">
        <w:rPr>
          <w:szCs w:val="24"/>
        </w:rPr>
        <w:t>about</w:t>
      </w:r>
      <w:r w:rsidRPr="00D15AEB">
        <w:rPr>
          <w:szCs w:val="24"/>
        </w:rPr>
        <w:t xml:space="preserve"> the life and death of his great-great-grandfather, </w:t>
      </w:r>
      <w:r w:rsidR="00C36A36" w:rsidRPr="00D15AEB">
        <w:rPr>
          <w:szCs w:val="24"/>
        </w:rPr>
        <w:t xml:space="preserve">Joe Bowman, </w:t>
      </w:r>
      <w:r w:rsidRPr="00D15AEB">
        <w:rPr>
          <w:szCs w:val="24"/>
        </w:rPr>
        <w:t xml:space="preserve">from whom </w:t>
      </w:r>
      <w:r w:rsidR="00C36A36" w:rsidRPr="00D15AEB">
        <w:rPr>
          <w:szCs w:val="24"/>
        </w:rPr>
        <w:t>any</w:t>
      </w:r>
      <w:r w:rsidRPr="00D15AEB">
        <w:rPr>
          <w:szCs w:val="24"/>
        </w:rPr>
        <w:t xml:space="preserve"> Abenaki ancestry </w:t>
      </w:r>
      <w:r w:rsidR="00C36A36" w:rsidRPr="00D15AEB">
        <w:rPr>
          <w:szCs w:val="24"/>
        </w:rPr>
        <w:t>would have to come</w:t>
      </w:r>
      <w:r w:rsidRPr="00D15AEB">
        <w:rPr>
          <w:szCs w:val="24"/>
        </w:rPr>
        <w:t xml:space="preserve">, and </w:t>
      </w:r>
      <w:r w:rsidRPr="00D15AEB">
        <w:rPr>
          <w:szCs w:val="24"/>
        </w:rPr>
        <w:lastRenderedPageBreak/>
        <w:t xml:space="preserve">about whom almost nothing is known. This narrative and documentary dead end </w:t>
      </w:r>
      <w:proofErr w:type="gramStart"/>
      <w:r w:rsidRPr="00D15AEB">
        <w:rPr>
          <w:szCs w:val="24"/>
        </w:rPr>
        <w:t>is</w:t>
      </w:r>
      <w:proofErr w:type="gramEnd"/>
      <w:r w:rsidRPr="00D15AEB">
        <w:rPr>
          <w:szCs w:val="24"/>
        </w:rPr>
        <w:t xml:space="preserve"> an open invitation for speculative ancestry, for using what remains to explore what might have been.</w:t>
      </w:r>
    </w:p>
    <w:p w14:paraId="68553097" w14:textId="60C87861" w:rsidR="00E16FD6" w:rsidRPr="00D15AEB" w:rsidRDefault="00E16FD6" w:rsidP="006F77EF">
      <w:pPr>
        <w:ind w:firstLine="720"/>
        <w:rPr>
          <w:szCs w:val="24"/>
        </w:rPr>
      </w:pPr>
      <w:r w:rsidRPr="00D15AEB">
        <w:rPr>
          <w:szCs w:val="24"/>
        </w:rPr>
        <w:t>Like Morrison and Walker, it is not until a decade later, in 1987, that</w:t>
      </w:r>
      <w:r w:rsidR="007200B7" w:rsidRPr="00D15AEB">
        <w:rPr>
          <w:szCs w:val="24"/>
        </w:rPr>
        <w:t xml:space="preserve"> Bruchac publishes an essay exploring the connection between his poetry and fiction—which become </w:t>
      </w:r>
      <w:r w:rsidR="00267E4E" w:rsidRPr="00D15AEB">
        <w:rPr>
          <w:szCs w:val="24"/>
        </w:rPr>
        <w:t>increasingly</w:t>
      </w:r>
      <w:r w:rsidR="007200B7" w:rsidRPr="00D15AEB">
        <w:rPr>
          <w:szCs w:val="24"/>
        </w:rPr>
        <w:t xml:space="preserve"> focused on tribal</w:t>
      </w:r>
      <w:r w:rsidR="00267E4E" w:rsidRPr="00D15AEB">
        <w:rPr>
          <w:szCs w:val="24"/>
        </w:rPr>
        <w:t>ly</w:t>
      </w:r>
      <w:r w:rsidR="007200B7" w:rsidRPr="00D15AEB">
        <w:rPr>
          <w:szCs w:val="24"/>
        </w:rPr>
        <w:t xml:space="preserve"> specific Indigenous experience, from Abenaki and Mohawk to Cherokee and Navajo—and his personal interest in his ancestors</w:t>
      </w:r>
      <w:r w:rsidR="00267E4E" w:rsidRPr="00D15AEB">
        <w:rPr>
          <w:szCs w:val="24"/>
        </w:rPr>
        <w:t>:</w:t>
      </w:r>
      <w:r w:rsidR="007200B7" w:rsidRPr="00D15AEB">
        <w:rPr>
          <w:szCs w:val="24"/>
        </w:rPr>
        <w:t xml:space="preserve"> </w:t>
      </w:r>
    </w:p>
    <w:p w14:paraId="0ACF809C" w14:textId="0288F180" w:rsidR="00267E4E" w:rsidRPr="00D15AEB" w:rsidRDefault="00267E4E" w:rsidP="00D15AEB">
      <w:pPr>
        <w:ind w:left="720"/>
        <w:rPr>
          <w:szCs w:val="24"/>
        </w:rPr>
      </w:pPr>
      <w:r w:rsidRPr="00D15AEB">
        <w:rPr>
          <w:szCs w:val="24"/>
        </w:rPr>
        <w:t>Had I been raised on other soil by other people, my Indian ancestry might have been less important, less shaping. But I was not raised in Czechoslovakia or England. I was raised in the foothills of the Adiron</w:t>
      </w:r>
      <w:r w:rsidR="00A51AC3" w:rsidRPr="00D15AEB">
        <w:rPr>
          <w:szCs w:val="24"/>
        </w:rPr>
        <w:t>dack Mountains near a town whose spring waters were regarded as sacred and healing by the Iroquois and Abenaki alike.</w:t>
      </w:r>
      <w:r w:rsidR="00B23F06" w:rsidRPr="00D15AEB">
        <w:rPr>
          <w:szCs w:val="24"/>
        </w:rPr>
        <w:t xml:space="preserve"> (</w:t>
      </w:r>
      <w:r w:rsidR="006F77EF">
        <w:rPr>
          <w:szCs w:val="24"/>
        </w:rPr>
        <w:t xml:space="preserve">Swann and </w:t>
      </w:r>
      <w:proofErr w:type="spellStart"/>
      <w:r w:rsidR="006F77EF">
        <w:rPr>
          <w:szCs w:val="24"/>
        </w:rPr>
        <w:t>Krupat</w:t>
      </w:r>
      <w:proofErr w:type="spellEnd"/>
      <w:r w:rsidR="006F77EF">
        <w:rPr>
          <w:szCs w:val="24"/>
        </w:rPr>
        <w:t xml:space="preserve"> </w:t>
      </w:r>
      <w:r w:rsidR="00B23F06" w:rsidRPr="00D15AEB">
        <w:rPr>
          <w:szCs w:val="24"/>
        </w:rPr>
        <w:t>203)</w:t>
      </w:r>
    </w:p>
    <w:p w14:paraId="1B6AE559" w14:textId="0C8A2A9D" w:rsidR="007200B7" w:rsidRPr="00D15AEB" w:rsidRDefault="007200B7" w:rsidP="00D15AEB">
      <w:pPr>
        <w:rPr>
          <w:szCs w:val="24"/>
        </w:rPr>
      </w:pPr>
      <w:r w:rsidRPr="00D15AEB">
        <w:rPr>
          <w:szCs w:val="24"/>
        </w:rPr>
        <w:t xml:space="preserve">More so than family stories, or family reticence, Bruchac’s speculative ancestry is inspired by </w:t>
      </w:r>
      <w:r w:rsidRPr="00D15AEB">
        <w:rPr>
          <w:i/>
          <w:iCs/>
          <w:szCs w:val="24"/>
        </w:rPr>
        <w:t>place</w:t>
      </w:r>
      <w:r w:rsidRPr="00D15AEB">
        <w:rPr>
          <w:szCs w:val="24"/>
        </w:rPr>
        <w:t>.</w:t>
      </w:r>
      <w:r w:rsidR="00A51AC3" w:rsidRPr="00D15AEB">
        <w:rPr>
          <w:szCs w:val="24"/>
        </w:rPr>
        <w:t xml:space="preserve"> His deep connection, nurtured since childhood, to land, water, animals, and plants of the Adirondacks is what drives him to build relationships with both Abenaki and Haudenosaunee tribal communities. </w:t>
      </w:r>
    </w:p>
    <w:p w14:paraId="089BA4B5" w14:textId="763E7CED" w:rsidR="00A51AC3" w:rsidRPr="00D15AEB" w:rsidRDefault="00A51AC3" w:rsidP="006F77EF">
      <w:pPr>
        <w:ind w:firstLine="720"/>
        <w:rPr>
          <w:szCs w:val="24"/>
        </w:rPr>
      </w:pPr>
      <w:r w:rsidRPr="00D15AEB">
        <w:rPr>
          <w:szCs w:val="24"/>
        </w:rPr>
        <w:t xml:space="preserve">Bruchac’s speculative ancestry </w:t>
      </w:r>
      <w:proofErr w:type="gramStart"/>
      <w:r w:rsidRPr="00D15AEB">
        <w:rPr>
          <w:szCs w:val="24"/>
        </w:rPr>
        <w:t>asks</w:t>
      </w:r>
      <w:proofErr w:type="gramEnd"/>
      <w:r w:rsidRPr="00D15AEB">
        <w:rPr>
          <w:szCs w:val="24"/>
        </w:rPr>
        <w:t xml:space="preserve"> “What if the place-relating lifeways I most want to learn are already there in my own family but have been hidden or suppressed?” The potential pitfall of Bruchac’s speculative practice is that it opens the possibility of appropriation or even fraud as it moves from voracious interest to firm affiliation. In 1987 Bruchac still claim</w:t>
      </w:r>
      <w:r w:rsidR="002A3B82" w:rsidRPr="00D15AEB">
        <w:rPr>
          <w:szCs w:val="24"/>
        </w:rPr>
        <w:t>ed</w:t>
      </w:r>
      <w:r w:rsidRPr="00D15AEB">
        <w:rPr>
          <w:szCs w:val="24"/>
        </w:rPr>
        <w:t xml:space="preserve"> only Native ancestry, but by the 2000s he claim</w:t>
      </w:r>
      <w:r w:rsidR="002A3B82" w:rsidRPr="00D15AEB">
        <w:rPr>
          <w:szCs w:val="24"/>
        </w:rPr>
        <w:t>ed</w:t>
      </w:r>
      <w:r w:rsidRPr="00D15AEB">
        <w:rPr>
          <w:szCs w:val="24"/>
        </w:rPr>
        <w:t xml:space="preserve"> membership in </w:t>
      </w:r>
      <w:r w:rsidR="002D6214" w:rsidRPr="00D15AEB">
        <w:rPr>
          <w:szCs w:val="24"/>
        </w:rPr>
        <w:t>one of four</w:t>
      </w:r>
      <w:r w:rsidRPr="00D15AEB">
        <w:rPr>
          <w:szCs w:val="24"/>
        </w:rPr>
        <w:t xml:space="preserve"> Vermont</w:t>
      </w:r>
      <w:r w:rsidR="002D6214" w:rsidRPr="00D15AEB">
        <w:rPr>
          <w:szCs w:val="24"/>
        </w:rPr>
        <w:t xml:space="preserve"> Abenaki</w:t>
      </w:r>
      <w:r w:rsidRPr="00D15AEB">
        <w:rPr>
          <w:szCs w:val="24"/>
        </w:rPr>
        <w:t xml:space="preserve"> tribal band</w:t>
      </w:r>
      <w:r w:rsidR="002D6214" w:rsidRPr="00D15AEB">
        <w:rPr>
          <w:szCs w:val="24"/>
        </w:rPr>
        <w:t>s</w:t>
      </w:r>
      <w:r w:rsidR="009B44BB" w:rsidRPr="00D15AEB">
        <w:rPr>
          <w:szCs w:val="24"/>
        </w:rPr>
        <w:t xml:space="preserve"> </w:t>
      </w:r>
      <w:r w:rsidRPr="00D15AEB">
        <w:rPr>
          <w:szCs w:val="24"/>
        </w:rPr>
        <w:t xml:space="preserve">whose legitimacy is </w:t>
      </w:r>
      <w:r w:rsidR="002D6214" w:rsidRPr="00D15AEB">
        <w:rPr>
          <w:szCs w:val="24"/>
        </w:rPr>
        <w:t>contested by the W8banaki First Nation in Canada</w:t>
      </w:r>
      <w:r w:rsidRPr="00D15AEB">
        <w:rPr>
          <w:szCs w:val="24"/>
        </w:rPr>
        <w:t>.</w:t>
      </w:r>
      <w:r w:rsidR="006A1F3A">
        <w:rPr>
          <w:szCs w:val="24"/>
          <w:vertAlign w:val="superscript"/>
        </w:rPr>
        <w:t>1</w:t>
      </w:r>
      <w:r w:rsidR="00AD1C73" w:rsidRPr="00D15AEB">
        <w:rPr>
          <w:szCs w:val="24"/>
        </w:rPr>
        <w:t xml:space="preserve"> Bruchac’s fictional explorations and his personal claims collide in complicated ways as the Vermont Abenaki dispute raises extremely important, nuanced, and </w:t>
      </w:r>
      <w:r w:rsidR="002D6214" w:rsidRPr="00D15AEB">
        <w:rPr>
          <w:szCs w:val="24"/>
        </w:rPr>
        <w:t xml:space="preserve">often </w:t>
      </w:r>
      <w:r w:rsidR="00AD1C73" w:rsidRPr="00D15AEB">
        <w:rPr>
          <w:szCs w:val="24"/>
        </w:rPr>
        <w:t>misconstrued questions about Indigenous belonging. (</w:t>
      </w:r>
      <w:r w:rsidR="002D6214" w:rsidRPr="00D15AEB">
        <w:rPr>
          <w:szCs w:val="24"/>
        </w:rPr>
        <w:t xml:space="preserve">Bruchac could have avoided embroilment in this debate if he had, like Morrison and Walker, cited only Indigenous—or most probably so—ancestry rather than making claims of tribal affiliation. </w:t>
      </w:r>
      <w:r w:rsidR="00AD1C73" w:rsidRPr="00D15AEB">
        <w:rPr>
          <w:szCs w:val="24"/>
        </w:rPr>
        <w:t>This is why author identity is a different conversation!)</w:t>
      </w:r>
    </w:p>
    <w:p w14:paraId="3E2E5B18" w14:textId="12B65A91" w:rsidR="00AD1C73" w:rsidRPr="00D15AEB" w:rsidRDefault="00D4262E" w:rsidP="006F77EF">
      <w:pPr>
        <w:ind w:firstLine="720"/>
        <w:rPr>
          <w:szCs w:val="24"/>
        </w:rPr>
      </w:pPr>
      <w:r w:rsidRPr="00D15AEB">
        <w:rPr>
          <w:szCs w:val="24"/>
        </w:rPr>
        <w:t xml:space="preserve">I would like to close by reiterating that the practice of speculative ancestry, whether elegantly or clumsily executed, is grounded in asking questions rather than in supplying definitive answers. “What if?” “What was it like?” “What, and who, might have been?” </w:t>
      </w:r>
      <w:r w:rsidR="00AD1C73" w:rsidRPr="00D15AEB">
        <w:rPr>
          <w:szCs w:val="24"/>
        </w:rPr>
        <w:t xml:space="preserve">These questions are, at their core, questions of </w:t>
      </w:r>
      <w:r w:rsidR="00AD1C73" w:rsidRPr="00D15AEB">
        <w:rPr>
          <w:i/>
          <w:iCs/>
          <w:szCs w:val="24"/>
        </w:rPr>
        <w:t>how</w:t>
      </w:r>
      <w:r w:rsidR="00AD1C73" w:rsidRPr="00D15AEB">
        <w:rPr>
          <w:szCs w:val="24"/>
        </w:rPr>
        <w:t>, questions answered through the illustrative, imaginative work</w:t>
      </w:r>
      <w:r w:rsidR="000953E4" w:rsidRPr="00D15AEB">
        <w:rPr>
          <w:szCs w:val="24"/>
        </w:rPr>
        <w:t xml:space="preserve"> that</w:t>
      </w:r>
      <w:r w:rsidR="00AD1C73" w:rsidRPr="00D15AEB">
        <w:rPr>
          <w:szCs w:val="24"/>
        </w:rPr>
        <w:t xml:space="preserve"> literature does.</w:t>
      </w:r>
    </w:p>
    <w:p w14:paraId="239EDE97" w14:textId="4450899F" w:rsidR="00D15AEB" w:rsidRDefault="009B44BB" w:rsidP="006A1F3A">
      <w:pPr>
        <w:ind w:firstLine="720"/>
        <w:rPr>
          <w:szCs w:val="24"/>
        </w:rPr>
      </w:pPr>
      <w:r w:rsidRPr="00D15AEB">
        <w:rPr>
          <w:szCs w:val="24"/>
        </w:rPr>
        <w:t xml:space="preserve">In summary, </w:t>
      </w:r>
      <w:r w:rsidR="00AD1C73" w:rsidRPr="00D15AEB">
        <w:rPr>
          <w:szCs w:val="24"/>
        </w:rPr>
        <w:t xml:space="preserve">Morrison’s speculative ancestry asks “How did Black </w:t>
      </w:r>
      <w:r w:rsidR="0072434C" w:rsidRPr="00D15AEB">
        <w:rPr>
          <w:szCs w:val="24"/>
        </w:rPr>
        <w:t xml:space="preserve">people survive </w:t>
      </w:r>
      <w:r w:rsidR="00AD1C73" w:rsidRPr="00D15AEB">
        <w:rPr>
          <w:szCs w:val="24"/>
        </w:rPr>
        <w:t xml:space="preserve">enslavement and emancipation in the Americas? What were the tools, the myths and functional values, that sustained Black Americans through </w:t>
      </w:r>
      <w:r w:rsidR="00360902" w:rsidRPr="00D15AEB">
        <w:rPr>
          <w:szCs w:val="24"/>
        </w:rPr>
        <w:t>those trials</w:t>
      </w:r>
      <w:r w:rsidR="00AD1C73" w:rsidRPr="00D15AEB">
        <w:rPr>
          <w:szCs w:val="24"/>
        </w:rPr>
        <w:t>?” Walker’s asks “How d</w:t>
      </w:r>
      <w:r w:rsidR="00360902" w:rsidRPr="00D15AEB">
        <w:rPr>
          <w:szCs w:val="24"/>
        </w:rPr>
        <w:t>o mixed-race people in the Americas (which is to say, most people in the Americas)</w:t>
      </w:r>
      <w:r w:rsidR="00AD1C73" w:rsidRPr="00D15AEB">
        <w:rPr>
          <w:szCs w:val="24"/>
        </w:rPr>
        <w:t xml:space="preserve"> </w:t>
      </w:r>
      <w:r w:rsidR="0072434C" w:rsidRPr="00D15AEB">
        <w:rPr>
          <w:szCs w:val="24"/>
        </w:rPr>
        <w:t xml:space="preserve">reconcile the tensions between </w:t>
      </w:r>
      <w:r w:rsidR="00AD1C73" w:rsidRPr="00D15AEB">
        <w:rPr>
          <w:szCs w:val="24"/>
        </w:rPr>
        <w:t xml:space="preserve">the violent conflict of Black-white property relations </w:t>
      </w:r>
      <w:r w:rsidR="00AD1C73" w:rsidRPr="00D15AEB">
        <w:rPr>
          <w:i/>
          <w:iCs/>
          <w:szCs w:val="24"/>
        </w:rPr>
        <w:t>and</w:t>
      </w:r>
      <w:r w:rsidR="00AD1C73" w:rsidRPr="00D15AEB">
        <w:rPr>
          <w:szCs w:val="24"/>
        </w:rPr>
        <w:t xml:space="preserve"> the sustaining alliances of Black-Native relations?” and Bruchac’s asks “</w:t>
      </w:r>
      <w:r w:rsidR="0072434C" w:rsidRPr="00D15AEB">
        <w:rPr>
          <w:szCs w:val="24"/>
        </w:rPr>
        <w:t xml:space="preserve">How do I relate to the place that raised me in a way that honors both the grandfather who raised me </w:t>
      </w:r>
      <w:r w:rsidR="0072434C" w:rsidRPr="00D15AEB">
        <w:rPr>
          <w:i/>
          <w:iCs/>
          <w:szCs w:val="24"/>
        </w:rPr>
        <w:t>and</w:t>
      </w:r>
      <w:r w:rsidR="0072434C" w:rsidRPr="00D15AEB">
        <w:rPr>
          <w:szCs w:val="24"/>
        </w:rPr>
        <w:t xml:space="preserve"> the place’s original inhabitants, especially if the</w:t>
      </w:r>
      <w:r w:rsidR="00360902" w:rsidRPr="00D15AEB">
        <w:rPr>
          <w:szCs w:val="24"/>
        </w:rPr>
        <w:t>y</w:t>
      </w:r>
      <w:r w:rsidR="0072434C" w:rsidRPr="00D15AEB">
        <w:rPr>
          <w:szCs w:val="24"/>
        </w:rPr>
        <w:t xml:space="preserve"> are one and the same</w:t>
      </w:r>
      <w:r w:rsidR="00AD1C73" w:rsidRPr="00D15AEB">
        <w:rPr>
          <w:szCs w:val="24"/>
        </w:rPr>
        <w:t xml:space="preserve">?” </w:t>
      </w:r>
      <w:r w:rsidR="0072434C" w:rsidRPr="00D15AEB">
        <w:rPr>
          <w:szCs w:val="24"/>
        </w:rPr>
        <w:t>These are questions recorded history can only answer unsatisfactorily and critical fabulation can only answer in a general way. Literature is a space to approach these questions intimately. Reading critically for speculative ancestry as a literary practice is challenging because it relates to the separate, and contentious, terrain of author identity, but I hope what I have shared today invites an exploration of the questions authors raise both in their literature and metaliterary commentary rather than reading their work for evidence of categorical assignment.</w:t>
      </w:r>
      <w:r w:rsidR="00D15AEB">
        <w:rPr>
          <w:szCs w:val="24"/>
        </w:rPr>
        <w:br w:type="page"/>
      </w:r>
    </w:p>
    <w:p w14:paraId="4FC321C5" w14:textId="4CE33AB8" w:rsidR="006A1F3A" w:rsidRDefault="006A1F3A" w:rsidP="00D15AEB">
      <w:pPr>
        <w:ind w:left="720" w:hanging="720"/>
        <w:rPr>
          <w:b/>
          <w:bCs/>
          <w:szCs w:val="24"/>
        </w:rPr>
      </w:pPr>
      <w:r>
        <w:rPr>
          <w:b/>
          <w:bCs/>
          <w:szCs w:val="24"/>
        </w:rPr>
        <w:lastRenderedPageBreak/>
        <w:t>Notes</w:t>
      </w:r>
    </w:p>
    <w:p w14:paraId="3A489B50" w14:textId="77777777" w:rsidR="006A1F3A" w:rsidRDefault="006A1F3A" w:rsidP="00D15AEB">
      <w:pPr>
        <w:ind w:left="720" w:hanging="720"/>
        <w:rPr>
          <w:b/>
          <w:bCs/>
          <w:szCs w:val="24"/>
        </w:rPr>
      </w:pPr>
    </w:p>
    <w:p w14:paraId="261EF872" w14:textId="4ADB4D23" w:rsidR="006A1F3A" w:rsidRPr="006A1F3A" w:rsidRDefault="006A1F3A" w:rsidP="006A1F3A">
      <w:pPr>
        <w:pStyle w:val="ListParagraph"/>
        <w:numPr>
          <w:ilvl w:val="0"/>
          <w:numId w:val="1"/>
        </w:numPr>
        <w:rPr>
          <w:b/>
          <w:bCs/>
          <w:szCs w:val="24"/>
        </w:rPr>
      </w:pPr>
      <w:r>
        <w:t>See chronological digital bibliography of public talks, published documents, and related press coverage related to this dispute at rachelnorthrop.com &gt; MELUS 2026 tab &gt; “Disputed Abenaki Belonging in Vermont and Canada”</w:t>
      </w:r>
    </w:p>
    <w:p w14:paraId="13B9819C" w14:textId="77777777" w:rsidR="006A1F3A" w:rsidRDefault="006A1F3A" w:rsidP="00D15AEB">
      <w:pPr>
        <w:ind w:left="720" w:hanging="720"/>
        <w:rPr>
          <w:b/>
          <w:bCs/>
          <w:szCs w:val="24"/>
        </w:rPr>
      </w:pPr>
    </w:p>
    <w:p w14:paraId="4BC89D0C" w14:textId="0BF366C0" w:rsidR="00D15AEB" w:rsidRPr="00D15AEB" w:rsidRDefault="00D15AEB" w:rsidP="00D15AEB">
      <w:pPr>
        <w:ind w:left="720" w:hanging="720"/>
        <w:rPr>
          <w:b/>
          <w:bCs/>
          <w:szCs w:val="24"/>
        </w:rPr>
      </w:pPr>
      <w:r w:rsidRPr="00D15AEB">
        <w:rPr>
          <w:b/>
          <w:bCs/>
          <w:szCs w:val="24"/>
        </w:rPr>
        <w:t>Works Cited</w:t>
      </w:r>
    </w:p>
    <w:p w14:paraId="2DE57FB3" w14:textId="40C474FB" w:rsidR="00D15AEB" w:rsidRPr="00D15AEB" w:rsidRDefault="00D15AEB" w:rsidP="00D15AEB">
      <w:pPr>
        <w:ind w:left="720" w:hanging="720"/>
        <w:rPr>
          <w:szCs w:val="24"/>
        </w:rPr>
      </w:pPr>
      <w:r w:rsidRPr="00D15AEB">
        <w:rPr>
          <w:szCs w:val="24"/>
        </w:rPr>
        <w:t xml:space="preserve">Allen, Chadwick. “Performing Serpent Mound: A Trans-Indigenous Meditation.” </w:t>
      </w:r>
      <w:r w:rsidRPr="00D15AEB">
        <w:rPr>
          <w:i/>
          <w:iCs/>
          <w:szCs w:val="24"/>
        </w:rPr>
        <w:t>Theatre Journal (Washington, D.C.)</w:t>
      </w:r>
      <w:r w:rsidRPr="00D15AEB">
        <w:rPr>
          <w:szCs w:val="24"/>
        </w:rPr>
        <w:t xml:space="preserve"> [Washington, D. C], vol. 67, no. 3, 2015, pp. 391–411, </w:t>
      </w:r>
      <w:hyperlink r:id="rId8" w:history="1">
        <w:r w:rsidRPr="00D15AEB">
          <w:rPr>
            <w:rStyle w:val="Hyperlink"/>
            <w:szCs w:val="24"/>
          </w:rPr>
          <w:t>https://doi.org/10.1353/tj.2015.0096</w:t>
        </w:r>
      </w:hyperlink>
      <w:r w:rsidRPr="00D15AEB">
        <w:rPr>
          <w:szCs w:val="24"/>
        </w:rPr>
        <w:t>.</w:t>
      </w:r>
    </w:p>
    <w:p w14:paraId="5860D4BC" w14:textId="77777777" w:rsidR="00D15AEB" w:rsidRPr="00D15AEB" w:rsidRDefault="00D15AEB" w:rsidP="00D15AEB">
      <w:pPr>
        <w:ind w:left="720" w:hanging="720"/>
        <w:rPr>
          <w:szCs w:val="24"/>
        </w:rPr>
      </w:pPr>
      <w:r w:rsidRPr="00D15AEB">
        <w:rPr>
          <w:szCs w:val="24"/>
        </w:rPr>
        <w:t xml:space="preserve">Bruchac, Joeseph. “Dreams of the Totem.” </w:t>
      </w:r>
      <w:r w:rsidRPr="00D15AEB">
        <w:rPr>
          <w:i/>
          <w:iCs/>
          <w:szCs w:val="24"/>
        </w:rPr>
        <w:t>Generations Blog</w:t>
      </w:r>
      <w:r w:rsidRPr="00D15AEB">
        <w:rPr>
          <w:szCs w:val="24"/>
        </w:rPr>
        <w:t xml:space="preserve">, 24 Jan. 2026, </w:t>
      </w:r>
      <w:hyperlink r:id="rId9" w:history="1">
        <w:r w:rsidRPr="00D15AEB">
          <w:rPr>
            <w:rStyle w:val="Hyperlink"/>
            <w:szCs w:val="24"/>
          </w:rPr>
          <w:t>https://joebruchac.com/f/dreams-of-the-totem</w:t>
        </w:r>
      </w:hyperlink>
      <w:r w:rsidRPr="00D15AEB">
        <w:rPr>
          <w:szCs w:val="24"/>
        </w:rPr>
        <w:t>.</w:t>
      </w:r>
    </w:p>
    <w:p w14:paraId="15CE20EB" w14:textId="47CB3F52" w:rsidR="00D15AEB" w:rsidRPr="00D15AEB" w:rsidRDefault="00D15AEB" w:rsidP="00D15AEB">
      <w:pPr>
        <w:ind w:left="720" w:hanging="720"/>
        <w:rPr>
          <w:szCs w:val="24"/>
        </w:rPr>
      </w:pPr>
      <w:r w:rsidRPr="00D15AEB">
        <w:rPr>
          <w:szCs w:val="24"/>
        </w:rPr>
        <w:t xml:space="preserve">Bruchac, Joseph. </w:t>
      </w:r>
      <w:r w:rsidRPr="00D15AEB">
        <w:rPr>
          <w:i/>
          <w:iCs/>
          <w:szCs w:val="24"/>
        </w:rPr>
        <w:t>Entering Onondaga: Poems</w:t>
      </w:r>
      <w:r w:rsidRPr="00D15AEB">
        <w:rPr>
          <w:szCs w:val="24"/>
        </w:rPr>
        <w:t>. With Ka-Hon-Hes</w:t>
      </w:r>
      <w:r w:rsidR="00552D8F">
        <w:rPr>
          <w:szCs w:val="24"/>
        </w:rPr>
        <w:t>, illustrator</w:t>
      </w:r>
      <w:r w:rsidRPr="00D15AEB">
        <w:rPr>
          <w:szCs w:val="24"/>
        </w:rPr>
        <w:t>, Cold Mountain Press, 1978.</w:t>
      </w:r>
    </w:p>
    <w:p w14:paraId="1FD18B13" w14:textId="56C7A2A3" w:rsidR="00D15AEB" w:rsidRPr="00D15AEB" w:rsidRDefault="00D15AEB" w:rsidP="00D15AEB">
      <w:pPr>
        <w:ind w:left="720" w:hanging="720"/>
        <w:rPr>
          <w:szCs w:val="24"/>
        </w:rPr>
      </w:pPr>
      <w:r w:rsidRPr="00D15AEB">
        <w:rPr>
          <w:szCs w:val="24"/>
        </w:rPr>
        <w:t xml:space="preserve">———. </w:t>
      </w:r>
      <w:r w:rsidRPr="00D15AEB">
        <w:rPr>
          <w:i/>
          <w:iCs/>
          <w:szCs w:val="24"/>
        </w:rPr>
        <w:t>Flow</w:t>
      </w:r>
      <w:r w:rsidRPr="00D15AEB">
        <w:rPr>
          <w:szCs w:val="24"/>
        </w:rPr>
        <w:t>. With Gretchen Reed</w:t>
      </w:r>
      <w:r w:rsidR="00552D8F">
        <w:rPr>
          <w:szCs w:val="24"/>
        </w:rPr>
        <w:t>, illustrator,</w:t>
      </w:r>
      <w:r w:rsidRPr="00D15AEB">
        <w:rPr>
          <w:szCs w:val="24"/>
        </w:rPr>
        <w:t xml:space="preserve"> Cold Mountain Press, Cold Mountain, 1975.</w:t>
      </w:r>
    </w:p>
    <w:p w14:paraId="44D1181E" w14:textId="77777777" w:rsidR="00D15AEB" w:rsidRPr="00D15AEB" w:rsidRDefault="00D15AEB" w:rsidP="00D15AEB">
      <w:pPr>
        <w:ind w:left="720" w:hanging="720"/>
        <w:rPr>
          <w:szCs w:val="24"/>
        </w:rPr>
      </w:pPr>
      <w:r w:rsidRPr="00D15AEB">
        <w:rPr>
          <w:szCs w:val="24"/>
        </w:rPr>
        <w:t xml:space="preserve">———. </w:t>
      </w:r>
      <w:r w:rsidRPr="00D15AEB">
        <w:rPr>
          <w:i/>
          <w:iCs/>
          <w:szCs w:val="24"/>
        </w:rPr>
        <w:t>Indian Mountain and Other Poems</w:t>
      </w:r>
      <w:r w:rsidRPr="00D15AEB">
        <w:rPr>
          <w:szCs w:val="24"/>
        </w:rPr>
        <w:t>. Ithaca House, 1971.</w:t>
      </w:r>
    </w:p>
    <w:p w14:paraId="249703ED" w14:textId="77777777" w:rsidR="00D15AEB" w:rsidRPr="00D15AEB" w:rsidRDefault="00D15AEB" w:rsidP="00D15AEB">
      <w:pPr>
        <w:ind w:left="720" w:hanging="720"/>
        <w:rPr>
          <w:szCs w:val="24"/>
        </w:rPr>
      </w:pPr>
      <w:r w:rsidRPr="00D15AEB">
        <w:rPr>
          <w:szCs w:val="24"/>
        </w:rPr>
        <w:t xml:space="preserve">———. </w:t>
      </w:r>
      <w:r w:rsidRPr="00D15AEB">
        <w:rPr>
          <w:i/>
          <w:iCs/>
          <w:szCs w:val="24"/>
        </w:rPr>
        <w:t>Translator’s Son</w:t>
      </w:r>
      <w:r w:rsidRPr="00D15AEB">
        <w:rPr>
          <w:szCs w:val="24"/>
        </w:rPr>
        <w:t>. Cross-Cultural Communication, 1980. Cross-Cultural Review 10.</w:t>
      </w:r>
    </w:p>
    <w:p w14:paraId="507E6A72" w14:textId="77777777" w:rsidR="00D15AEB" w:rsidRPr="00D15AEB" w:rsidRDefault="00D15AEB" w:rsidP="00D15AEB">
      <w:pPr>
        <w:ind w:left="720" w:hanging="720"/>
        <w:rPr>
          <w:szCs w:val="24"/>
        </w:rPr>
      </w:pPr>
      <w:r w:rsidRPr="00D15AEB">
        <w:rPr>
          <w:szCs w:val="24"/>
        </w:rPr>
        <w:t xml:space="preserve">Hartman, </w:t>
      </w:r>
      <w:proofErr w:type="spellStart"/>
      <w:r w:rsidRPr="00D15AEB">
        <w:rPr>
          <w:szCs w:val="24"/>
        </w:rPr>
        <w:t>Saidiya</w:t>
      </w:r>
      <w:proofErr w:type="spellEnd"/>
      <w:r w:rsidRPr="00D15AEB">
        <w:rPr>
          <w:szCs w:val="24"/>
        </w:rPr>
        <w:t xml:space="preserve">. “Venus in Two Acts.” </w:t>
      </w:r>
      <w:r w:rsidRPr="00D15AEB">
        <w:rPr>
          <w:i/>
          <w:iCs/>
          <w:szCs w:val="24"/>
        </w:rPr>
        <w:t>Small Axe</w:t>
      </w:r>
      <w:r w:rsidRPr="00D15AEB">
        <w:rPr>
          <w:szCs w:val="24"/>
        </w:rPr>
        <w:t>, vol. 12, no. 2, June 2008, pp. 1–14.</w:t>
      </w:r>
    </w:p>
    <w:p w14:paraId="1CC67EF8" w14:textId="4D981317" w:rsidR="00D15AEB" w:rsidRPr="00D15AEB" w:rsidRDefault="00D15AEB" w:rsidP="00D15AEB">
      <w:pPr>
        <w:ind w:left="720" w:hanging="720"/>
        <w:rPr>
          <w:szCs w:val="24"/>
        </w:rPr>
      </w:pPr>
      <w:r w:rsidRPr="00D15AEB">
        <w:rPr>
          <w:szCs w:val="24"/>
        </w:rPr>
        <w:t xml:space="preserve">Hartman, </w:t>
      </w:r>
      <w:proofErr w:type="spellStart"/>
      <w:r w:rsidRPr="00D15AEB">
        <w:rPr>
          <w:szCs w:val="24"/>
        </w:rPr>
        <w:t>Saidiya</w:t>
      </w:r>
      <w:proofErr w:type="spellEnd"/>
      <w:r w:rsidRPr="00D15AEB">
        <w:rPr>
          <w:szCs w:val="24"/>
        </w:rPr>
        <w:t xml:space="preserve">. </w:t>
      </w:r>
      <w:r w:rsidRPr="00D15AEB">
        <w:rPr>
          <w:i/>
          <w:iCs/>
          <w:szCs w:val="24"/>
        </w:rPr>
        <w:t>Lose Your Mother: A Journey along the Atlantic Slave Route</w:t>
      </w:r>
      <w:r w:rsidRPr="00D15AEB">
        <w:rPr>
          <w:szCs w:val="24"/>
        </w:rPr>
        <w:t>. First edition., Farrar, Straus and Giroux, 2007.</w:t>
      </w:r>
    </w:p>
    <w:p w14:paraId="0601A49F" w14:textId="5B6CC13F" w:rsidR="00D15AEB" w:rsidRPr="00D15AEB" w:rsidRDefault="00D15AEB" w:rsidP="00D15AEB">
      <w:pPr>
        <w:ind w:left="720" w:hanging="720"/>
        <w:rPr>
          <w:szCs w:val="24"/>
        </w:rPr>
      </w:pPr>
      <w:r w:rsidRPr="00D15AEB">
        <w:rPr>
          <w:szCs w:val="24"/>
        </w:rPr>
        <w:t xml:space="preserve">Morrison, Toni. “A Slow Walk of Trees (as Grandmother Would Say), Hopeless (as Grandfather Would Say).” </w:t>
      </w:r>
      <w:r w:rsidRPr="00D15AEB">
        <w:rPr>
          <w:i/>
          <w:iCs/>
          <w:szCs w:val="24"/>
        </w:rPr>
        <w:t xml:space="preserve">New York Times </w:t>
      </w:r>
      <w:r w:rsidR="006A1F3A" w:rsidRPr="00D15AEB">
        <w:rPr>
          <w:i/>
          <w:iCs/>
          <w:szCs w:val="24"/>
        </w:rPr>
        <w:t>Magazine</w:t>
      </w:r>
      <w:r w:rsidRPr="00D15AEB">
        <w:rPr>
          <w:szCs w:val="24"/>
        </w:rPr>
        <w:t>, 4 July 1976, pp. 104–05, 150, 152, 156, 160, 162, 164.</w:t>
      </w:r>
    </w:p>
    <w:p w14:paraId="081527E7" w14:textId="77777777" w:rsidR="00D15AEB" w:rsidRPr="00D15AEB" w:rsidRDefault="00D15AEB" w:rsidP="00D15AEB">
      <w:pPr>
        <w:ind w:left="720" w:hanging="720"/>
        <w:rPr>
          <w:szCs w:val="24"/>
        </w:rPr>
      </w:pPr>
      <w:r w:rsidRPr="00D15AEB">
        <w:rPr>
          <w:szCs w:val="24"/>
        </w:rPr>
        <w:t xml:space="preserve">———. </w:t>
      </w:r>
      <w:r w:rsidRPr="00D15AEB">
        <w:rPr>
          <w:i/>
          <w:iCs/>
          <w:szCs w:val="24"/>
        </w:rPr>
        <w:t>Song of Solomon</w:t>
      </w:r>
      <w:r w:rsidRPr="00D15AEB">
        <w:rPr>
          <w:szCs w:val="24"/>
        </w:rPr>
        <w:t>. First Vintage International edition., Vintage International, 2004.</w:t>
      </w:r>
    </w:p>
    <w:p w14:paraId="2EA88EFA" w14:textId="77777777" w:rsidR="00D15AEB" w:rsidRPr="00D15AEB" w:rsidRDefault="00D15AEB" w:rsidP="00D15AEB">
      <w:pPr>
        <w:ind w:left="720" w:hanging="720"/>
        <w:rPr>
          <w:szCs w:val="24"/>
        </w:rPr>
      </w:pPr>
      <w:r w:rsidRPr="00D15AEB">
        <w:rPr>
          <w:szCs w:val="24"/>
        </w:rPr>
        <w:t xml:space="preserve">———. </w:t>
      </w:r>
      <w:r w:rsidRPr="00D15AEB">
        <w:rPr>
          <w:i/>
          <w:iCs/>
          <w:szCs w:val="24"/>
        </w:rPr>
        <w:t>What Moves at the Margin: Selected Nonfiction</w:t>
      </w:r>
      <w:r w:rsidRPr="00D15AEB">
        <w:rPr>
          <w:szCs w:val="24"/>
        </w:rPr>
        <w:t>. With Carolyn C. Denard, University Press of Mississippi, 2008.</w:t>
      </w:r>
    </w:p>
    <w:p w14:paraId="1381E04B" w14:textId="77777777" w:rsidR="00D15AEB" w:rsidRPr="00D15AEB" w:rsidRDefault="00D15AEB" w:rsidP="00D15AEB">
      <w:pPr>
        <w:ind w:left="720" w:hanging="720"/>
        <w:rPr>
          <w:szCs w:val="24"/>
        </w:rPr>
      </w:pPr>
      <w:r w:rsidRPr="00D15AEB">
        <w:rPr>
          <w:szCs w:val="24"/>
        </w:rPr>
        <w:t xml:space="preserve">Swann, Brian, and Arnold Krupat, editors. </w:t>
      </w:r>
      <w:r w:rsidRPr="00D15AEB">
        <w:rPr>
          <w:i/>
          <w:iCs/>
          <w:szCs w:val="24"/>
        </w:rPr>
        <w:t>I Tell You Now: Autobiographical Essays by Native American Writers</w:t>
      </w:r>
      <w:r w:rsidRPr="00D15AEB">
        <w:rPr>
          <w:szCs w:val="24"/>
        </w:rPr>
        <w:t>. University of Nebraska Press, 1987. American Indian Lives.</w:t>
      </w:r>
    </w:p>
    <w:p w14:paraId="78865E0E" w14:textId="77777777" w:rsidR="00D15AEB" w:rsidRPr="00D15AEB" w:rsidRDefault="00D15AEB" w:rsidP="00D15AEB">
      <w:pPr>
        <w:ind w:left="720" w:hanging="720"/>
        <w:rPr>
          <w:szCs w:val="24"/>
        </w:rPr>
      </w:pPr>
      <w:r w:rsidRPr="00D15AEB">
        <w:rPr>
          <w:szCs w:val="24"/>
        </w:rPr>
        <w:t xml:space="preserve">Tate, Claudia. </w:t>
      </w:r>
      <w:r w:rsidRPr="00D15AEB">
        <w:rPr>
          <w:i/>
          <w:iCs/>
          <w:szCs w:val="24"/>
        </w:rPr>
        <w:t>Black Women Writers at Work</w:t>
      </w:r>
      <w:r w:rsidRPr="00D15AEB">
        <w:rPr>
          <w:szCs w:val="24"/>
        </w:rPr>
        <w:t>. Continuum, 1983.</w:t>
      </w:r>
    </w:p>
    <w:p w14:paraId="55D343DC" w14:textId="77777777" w:rsidR="00D15AEB" w:rsidRPr="00D15AEB" w:rsidRDefault="00D15AEB" w:rsidP="00D15AEB">
      <w:pPr>
        <w:ind w:left="720" w:hanging="720"/>
        <w:rPr>
          <w:szCs w:val="24"/>
        </w:rPr>
      </w:pPr>
      <w:r w:rsidRPr="00D15AEB">
        <w:rPr>
          <w:szCs w:val="24"/>
        </w:rPr>
        <w:t xml:space="preserve">Taylor-Guthrie, Danille Kathleen, editor. </w:t>
      </w:r>
      <w:r w:rsidRPr="00D15AEB">
        <w:rPr>
          <w:i/>
          <w:iCs/>
          <w:szCs w:val="24"/>
        </w:rPr>
        <w:t>Conversations with Toni Morrison</w:t>
      </w:r>
      <w:r w:rsidRPr="00D15AEB">
        <w:rPr>
          <w:szCs w:val="24"/>
        </w:rPr>
        <w:t>. With Toni Morrison, University Press of Mississippi, 1994. Literary Conversations Series.</w:t>
      </w:r>
    </w:p>
    <w:p w14:paraId="24DF23AB" w14:textId="02B4DC6D" w:rsidR="00D15AEB" w:rsidRPr="00D15AEB" w:rsidRDefault="00D15AEB" w:rsidP="00D15AEB">
      <w:pPr>
        <w:ind w:left="720" w:hanging="720"/>
        <w:rPr>
          <w:szCs w:val="24"/>
        </w:rPr>
      </w:pPr>
      <w:r w:rsidRPr="00D15AEB">
        <w:rPr>
          <w:szCs w:val="24"/>
        </w:rPr>
        <w:t xml:space="preserve">Walker, Alice. </w:t>
      </w:r>
      <w:r w:rsidRPr="00D15AEB">
        <w:rPr>
          <w:i/>
          <w:iCs/>
          <w:szCs w:val="24"/>
        </w:rPr>
        <w:t>Horses Make a Landscape Look More Beautiful: Poems</w:t>
      </w:r>
      <w:r w:rsidRPr="00D15AEB">
        <w:rPr>
          <w:szCs w:val="24"/>
        </w:rPr>
        <w:t>. San Diego: Harcourt Brace Jovanovich, 1984.</w:t>
      </w:r>
    </w:p>
    <w:p w14:paraId="1F681B4F" w14:textId="77777777" w:rsidR="00D15AEB" w:rsidRPr="00D15AEB" w:rsidRDefault="00D15AEB" w:rsidP="00D15AEB">
      <w:pPr>
        <w:ind w:left="720" w:hanging="720"/>
        <w:rPr>
          <w:szCs w:val="24"/>
        </w:rPr>
      </w:pPr>
      <w:r w:rsidRPr="00D15AEB">
        <w:rPr>
          <w:szCs w:val="24"/>
        </w:rPr>
        <w:t xml:space="preserve">———. </w:t>
      </w:r>
      <w:r w:rsidRPr="00D15AEB">
        <w:rPr>
          <w:i/>
          <w:iCs/>
          <w:szCs w:val="24"/>
        </w:rPr>
        <w:t>Living by the Word: Selected Writings, 1973-1987</w:t>
      </w:r>
      <w:r w:rsidRPr="00D15AEB">
        <w:rPr>
          <w:szCs w:val="24"/>
        </w:rPr>
        <w:t>. [First Harvest/HBJ edition]., Harcourt Brace Jovanovich, 1989.</w:t>
      </w:r>
    </w:p>
    <w:p w14:paraId="77EC6469" w14:textId="77777777" w:rsidR="00D15AEB" w:rsidRPr="00D15AEB" w:rsidRDefault="00D15AEB" w:rsidP="00D15AEB">
      <w:pPr>
        <w:ind w:left="720" w:hanging="720"/>
        <w:rPr>
          <w:szCs w:val="24"/>
        </w:rPr>
      </w:pPr>
      <w:r w:rsidRPr="00D15AEB">
        <w:rPr>
          <w:szCs w:val="24"/>
        </w:rPr>
        <w:t xml:space="preserve">———. </w:t>
      </w:r>
      <w:r w:rsidRPr="00D15AEB">
        <w:rPr>
          <w:i/>
          <w:iCs/>
          <w:szCs w:val="24"/>
        </w:rPr>
        <w:t>Meridian</w:t>
      </w:r>
      <w:r w:rsidRPr="00D15AEB">
        <w:rPr>
          <w:szCs w:val="24"/>
        </w:rPr>
        <w:t>. First edition., Harcourt Brace Jovanovich, 1976.</w:t>
      </w:r>
    </w:p>
    <w:p w14:paraId="42D5119F" w14:textId="77777777" w:rsidR="00D15AEB" w:rsidRPr="00D15AEB" w:rsidRDefault="00D15AEB" w:rsidP="00D15AEB">
      <w:pPr>
        <w:ind w:left="720" w:hanging="720"/>
        <w:rPr>
          <w:szCs w:val="24"/>
        </w:rPr>
      </w:pPr>
      <w:r w:rsidRPr="00D15AEB">
        <w:rPr>
          <w:szCs w:val="24"/>
        </w:rPr>
        <w:t xml:space="preserve">Womack, Craig S. “Tribal Paradise Lost but Where Did It </w:t>
      </w:r>
      <w:proofErr w:type="gramStart"/>
      <w:r w:rsidRPr="00D15AEB">
        <w:rPr>
          <w:szCs w:val="24"/>
        </w:rPr>
        <w:t>Go?:</w:t>
      </w:r>
      <w:proofErr w:type="gramEnd"/>
      <w:r w:rsidRPr="00D15AEB">
        <w:rPr>
          <w:szCs w:val="24"/>
        </w:rPr>
        <w:t xml:space="preserve"> Native Absence in Toni Morrison’s Paradise.” </w:t>
      </w:r>
      <w:r w:rsidRPr="00D15AEB">
        <w:rPr>
          <w:i/>
          <w:iCs/>
          <w:szCs w:val="24"/>
        </w:rPr>
        <w:t>Studies in American Indian Literatures</w:t>
      </w:r>
      <w:r w:rsidRPr="00D15AEB">
        <w:rPr>
          <w:szCs w:val="24"/>
        </w:rPr>
        <w:t xml:space="preserve">, vol. 21, no. 4, 2009, pp. 20–52, </w:t>
      </w:r>
      <w:hyperlink r:id="rId10" w:history="1">
        <w:r w:rsidRPr="00D15AEB">
          <w:rPr>
            <w:rStyle w:val="Hyperlink"/>
            <w:szCs w:val="24"/>
          </w:rPr>
          <w:t>https://doi.org/10.1353/ail.0.0102</w:t>
        </w:r>
      </w:hyperlink>
      <w:r w:rsidRPr="00D15AEB">
        <w:rPr>
          <w:szCs w:val="24"/>
        </w:rPr>
        <w:t>.</w:t>
      </w:r>
    </w:p>
    <w:p w14:paraId="36AADAC0" w14:textId="77777777" w:rsidR="00D4262E" w:rsidRPr="00D15AEB" w:rsidRDefault="00D4262E" w:rsidP="00D15AEB">
      <w:pPr>
        <w:rPr>
          <w:szCs w:val="24"/>
        </w:rPr>
      </w:pPr>
    </w:p>
    <w:sectPr w:rsidR="00D4262E" w:rsidRPr="00D15AE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05A3A" w14:textId="77777777" w:rsidR="00A910EE" w:rsidRDefault="00A910EE" w:rsidP="007A7D14">
      <w:r>
        <w:separator/>
      </w:r>
    </w:p>
  </w:endnote>
  <w:endnote w:type="continuationSeparator" w:id="0">
    <w:p w14:paraId="35085BB7" w14:textId="77777777" w:rsidR="00A910EE" w:rsidRDefault="00A910EE" w:rsidP="007A7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799106" w14:textId="731A4782" w:rsidR="00F87946" w:rsidRDefault="00F87946">
    <w:pPr>
      <w:pStyle w:val="Footer"/>
      <w:rPr>
        <w:sz w:val="20"/>
      </w:rPr>
    </w:pPr>
    <w:r>
      <w:rPr>
        <w:sz w:val="20"/>
      </w:rPr>
      <w:t xml:space="preserve">MELUS 2026 </w:t>
    </w:r>
    <w:r w:rsidRPr="00F87946">
      <w:rPr>
        <w:sz w:val="20"/>
      </w:rPr>
      <w:t>Beyond the Page: Storytelling Across Media and Borders in Precarious Times</w:t>
    </w:r>
    <w:r>
      <w:rPr>
        <w:sz w:val="20"/>
      </w:rPr>
      <w:t xml:space="preserve"> // Austin, TX</w:t>
    </w:r>
  </w:p>
  <w:p w14:paraId="18845A12" w14:textId="21B33577" w:rsidR="00F87946" w:rsidRPr="00F87946" w:rsidRDefault="00F87946">
    <w:pPr>
      <w:pStyle w:val="Footer"/>
      <w:rPr>
        <w:sz w:val="20"/>
      </w:rPr>
    </w:pPr>
    <w:r>
      <w:rPr>
        <w:sz w:val="20"/>
      </w:rPr>
      <w:t>Panel 3A: “Storytelling and Speculation in Black Women’s Fiction”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38AF7" w14:textId="77777777" w:rsidR="00A910EE" w:rsidRDefault="00A910EE" w:rsidP="007A7D14">
      <w:r>
        <w:separator/>
      </w:r>
    </w:p>
  </w:footnote>
  <w:footnote w:type="continuationSeparator" w:id="0">
    <w:p w14:paraId="0C98CADA" w14:textId="77777777" w:rsidR="00A910EE" w:rsidRDefault="00A910EE" w:rsidP="007A7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2953419"/>
      <w:docPartObj>
        <w:docPartGallery w:val="Page Numbers (Top of Page)"/>
        <w:docPartUnique/>
      </w:docPartObj>
    </w:sdtPr>
    <w:sdtEndPr>
      <w:rPr>
        <w:noProof/>
      </w:rPr>
    </w:sdtEndPr>
    <w:sdtContent>
      <w:p w14:paraId="40A6AF7F" w14:textId="11A76A5F" w:rsidR="007A7D14" w:rsidRDefault="007A7D1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E1F33A8" w14:textId="77777777" w:rsidR="007A7D14" w:rsidRDefault="007A7D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816E4"/>
    <w:multiLevelType w:val="hybridMultilevel"/>
    <w:tmpl w:val="9DAEC32A"/>
    <w:lvl w:ilvl="0" w:tplc="CAA0F52E">
      <w:start w:val="1"/>
      <w:numFmt w:val="decimal"/>
      <w:lvlText w:val="%1."/>
      <w:lvlJc w:val="left"/>
      <w:pPr>
        <w:ind w:left="630" w:hanging="360"/>
      </w:pPr>
      <w:rPr>
        <w:rFonts w:hint="default"/>
        <w:b w:val="0"/>
        <w:bCs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1951207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357"/>
    <w:rsid w:val="00026EE1"/>
    <w:rsid w:val="00027A00"/>
    <w:rsid w:val="000411A1"/>
    <w:rsid w:val="00064FA6"/>
    <w:rsid w:val="000952D9"/>
    <w:rsid w:val="000953E4"/>
    <w:rsid w:val="000A16BE"/>
    <w:rsid w:val="000C7EA5"/>
    <w:rsid w:val="000D6122"/>
    <w:rsid w:val="000E3A2A"/>
    <w:rsid w:val="000F74D1"/>
    <w:rsid w:val="0011511F"/>
    <w:rsid w:val="00153A1E"/>
    <w:rsid w:val="001902EA"/>
    <w:rsid w:val="001B3D33"/>
    <w:rsid w:val="001D35F1"/>
    <w:rsid w:val="00201292"/>
    <w:rsid w:val="00211C89"/>
    <w:rsid w:val="00240629"/>
    <w:rsid w:val="00241D21"/>
    <w:rsid w:val="00243E44"/>
    <w:rsid w:val="00246EF9"/>
    <w:rsid w:val="00267E4E"/>
    <w:rsid w:val="00271BBE"/>
    <w:rsid w:val="002A3B82"/>
    <w:rsid w:val="002D6214"/>
    <w:rsid w:val="002E4DAD"/>
    <w:rsid w:val="00316190"/>
    <w:rsid w:val="00323295"/>
    <w:rsid w:val="00340715"/>
    <w:rsid w:val="00343E43"/>
    <w:rsid w:val="00360902"/>
    <w:rsid w:val="00362CEF"/>
    <w:rsid w:val="00367D99"/>
    <w:rsid w:val="00386151"/>
    <w:rsid w:val="003D5A80"/>
    <w:rsid w:val="003E14A6"/>
    <w:rsid w:val="004176B9"/>
    <w:rsid w:val="00484224"/>
    <w:rsid w:val="004C0D87"/>
    <w:rsid w:val="00505A2A"/>
    <w:rsid w:val="0054217B"/>
    <w:rsid w:val="00552D8F"/>
    <w:rsid w:val="005545A2"/>
    <w:rsid w:val="0061260A"/>
    <w:rsid w:val="00613B3C"/>
    <w:rsid w:val="00640590"/>
    <w:rsid w:val="00656A62"/>
    <w:rsid w:val="00672617"/>
    <w:rsid w:val="00676718"/>
    <w:rsid w:val="006A1F3A"/>
    <w:rsid w:val="006D18A8"/>
    <w:rsid w:val="006F77EF"/>
    <w:rsid w:val="00700B70"/>
    <w:rsid w:val="007016BB"/>
    <w:rsid w:val="00706608"/>
    <w:rsid w:val="00707248"/>
    <w:rsid w:val="007200B7"/>
    <w:rsid w:val="0072434C"/>
    <w:rsid w:val="00725926"/>
    <w:rsid w:val="007937CD"/>
    <w:rsid w:val="007A7D14"/>
    <w:rsid w:val="007B314C"/>
    <w:rsid w:val="0081687E"/>
    <w:rsid w:val="0083307D"/>
    <w:rsid w:val="00842EE1"/>
    <w:rsid w:val="00854599"/>
    <w:rsid w:val="0088679E"/>
    <w:rsid w:val="00894B51"/>
    <w:rsid w:val="008D4E83"/>
    <w:rsid w:val="008E2357"/>
    <w:rsid w:val="008E7552"/>
    <w:rsid w:val="00905482"/>
    <w:rsid w:val="009426E1"/>
    <w:rsid w:val="00971A62"/>
    <w:rsid w:val="0098309F"/>
    <w:rsid w:val="009A195D"/>
    <w:rsid w:val="009A68C6"/>
    <w:rsid w:val="009B44BB"/>
    <w:rsid w:val="009C2283"/>
    <w:rsid w:val="009D4963"/>
    <w:rsid w:val="009F2079"/>
    <w:rsid w:val="00A025B6"/>
    <w:rsid w:val="00A0293E"/>
    <w:rsid w:val="00A076CE"/>
    <w:rsid w:val="00A2517B"/>
    <w:rsid w:val="00A51AC3"/>
    <w:rsid w:val="00A910EE"/>
    <w:rsid w:val="00AD1C73"/>
    <w:rsid w:val="00B23F06"/>
    <w:rsid w:val="00B70082"/>
    <w:rsid w:val="00BD433C"/>
    <w:rsid w:val="00BD4B54"/>
    <w:rsid w:val="00BF4CEB"/>
    <w:rsid w:val="00BF7523"/>
    <w:rsid w:val="00C36A36"/>
    <w:rsid w:val="00C6076A"/>
    <w:rsid w:val="00CC6228"/>
    <w:rsid w:val="00CC677A"/>
    <w:rsid w:val="00CE1C43"/>
    <w:rsid w:val="00CE3BDB"/>
    <w:rsid w:val="00CF10D6"/>
    <w:rsid w:val="00D139FF"/>
    <w:rsid w:val="00D15AEB"/>
    <w:rsid w:val="00D4262E"/>
    <w:rsid w:val="00D83EC7"/>
    <w:rsid w:val="00D96276"/>
    <w:rsid w:val="00DE6A7D"/>
    <w:rsid w:val="00DF74E9"/>
    <w:rsid w:val="00E00CD5"/>
    <w:rsid w:val="00E0142D"/>
    <w:rsid w:val="00E16FD6"/>
    <w:rsid w:val="00E215BF"/>
    <w:rsid w:val="00EE2A5A"/>
    <w:rsid w:val="00F059B7"/>
    <w:rsid w:val="00F1169B"/>
    <w:rsid w:val="00F44BC2"/>
    <w:rsid w:val="00F7265E"/>
    <w:rsid w:val="00F87946"/>
    <w:rsid w:val="00FB7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A27A8"/>
  <w15:chartTrackingRefBased/>
  <w15:docId w15:val="{B6D98C6D-1605-493F-8661-7A4F03C0D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276"/>
  </w:style>
  <w:style w:type="paragraph" w:styleId="Heading1">
    <w:name w:val="heading 1"/>
    <w:basedOn w:val="Normal"/>
    <w:next w:val="Normal"/>
    <w:link w:val="Heading1Char"/>
    <w:uiPriority w:val="9"/>
    <w:qFormat/>
    <w:rsid w:val="00D962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62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627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627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9627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9627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9627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9627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9627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rsid w:val="00E0142D"/>
    <w:pPr>
      <w:spacing w:after="160" w:line="259" w:lineRule="auto"/>
    </w:pPr>
    <w:rPr>
      <w:sz w:val="20"/>
      <w:szCs w:val="22"/>
    </w:rPr>
  </w:style>
  <w:style w:type="character" w:customStyle="1" w:styleId="FootnoteTextChar">
    <w:name w:val="Footnote Text Char"/>
    <w:basedOn w:val="DefaultParagraphFont"/>
    <w:link w:val="FootnoteText"/>
    <w:uiPriority w:val="99"/>
    <w:rsid w:val="00E0142D"/>
    <w:rPr>
      <w:sz w:val="20"/>
      <w:szCs w:val="22"/>
    </w:rPr>
  </w:style>
  <w:style w:type="character" w:customStyle="1" w:styleId="Heading1Char">
    <w:name w:val="Heading 1 Char"/>
    <w:basedOn w:val="DefaultParagraphFont"/>
    <w:link w:val="Heading1"/>
    <w:uiPriority w:val="9"/>
    <w:rsid w:val="00D962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62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627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627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9627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9627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9627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9627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9627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9627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62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627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6276"/>
    <w:rPr>
      <w:rFonts w:asciiTheme="minorHAnsi" w:eastAsiaTheme="majorEastAsia" w:hAnsiTheme="minorHAnsi" w:cstheme="majorBidi"/>
      <w:color w:val="595959" w:themeColor="text1" w:themeTint="A6"/>
      <w:spacing w:val="15"/>
      <w:sz w:val="28"/>
      <w:szCs w:val="28"/>
    </w:rPr>
  </w:style>
  <w:style w:type="paragraph" w:styleId="ListParagraph">
    <w:name w:val="List Paragraph"/>
    <w:basedOn w:val="Normal"/>
    <w:uiPriority w:val="34"/>
    <w:qFormat/>
    <w:rsid w:val="00D96276"/>
    <w:pPr>
      <w:ind w:left="720"/>
      <w:contextualSpacing/>
    </w:pPr>
  </w:style>
  <w:style w:type="paragraph" w:styleId="Quote">
    <w:name w:val="Quote"/>
    <w:basedOn w:val="Normal"/>
    <w:next w:val="Normal"/>
    <w:link w:val="QuoteChar"/>
    <w:uiPriority w:val="29"/>
    <w:qFormat/>
    <w:rsid w:val="00D96276"/>
    <w:pPr>
      <w:spacing w:before="160"/>
      <w:jc w:val="center"/>
    </w:pPr>
    <w:rPr>
      <w:i/>
      <w:iCs/>
      <w:color w:val="404040" w:themeColor="text1" w:themeTint="BF"/>
    </w:rPr>
  </w:style>
  <w:style w:type="character" w:customStyle="1" w:styleId="QuoteChar">
    <w:name w:val="Quote Char"/>
    <w:basedOn w:val="DefaultParagraphFont"/>
    <w:link w:val="Quote"/>
    <w:uiPriority w:val="29"/>
    <w:rsid w:val="00D96276"/>
    <w:rPr>
      <w:i/>
      <w:iCs/>
      <w:color w:val="404040" w:themeColor="text1" w:themeTint="BF"/>
    </w:rPr>
  </w:style>
  <w:style w:type="paragraph" w:styleId="IntenseQuote">
    <w:name w:val="Intense Quote"/>
    <w:basedOn w:val="Normal"/>
    <w:next w:val="Normal"/>
    <w:link w:val="IntenseQuoteChar"/>
    <w:uiPriority w:val="30"/>
    <w:qFormat/>
    <w:rsid w:val="00D962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6276"/>
    <w:rPr>
      <w:i/>
      <w:iCs/>
      <w:color w:val="0F4761" w:themeColor="accent1" w:themeShade="BF"/>
    </w:rPr>
  </w:style>
  <w:style w:type="character" w:styleId="IntenseEmphasis">
    <w:name w:val="Intense Emphasis"/>
    <w:basedOn w:val="DefaultParagraphFont"/>
    <w:uiPriority w:val="21"/>
    <w:qFormat/>
    <w:rsid w:val="00D96276"/>
    <w:rPr>
      <w:i/>
      <w:iCs/>
      <w:color w:val="0F4761" w:themeColor="accent1" w:themeShade="BF"/>
    </w:rPr>
  </w:style>
  <w:style w:type="character" w:styleId="IntenseReference">
    <w:name w:val="Intense Reference"/>
    <w:basedOn w:val="DefaultParagraphFont"/>
    <w:uiPriority w:val="32"/>
    <w:qFormat/>
    <w:rsid w:val="00D96276"/>
    <w:rPr>
      <w:b/>
      <w:bCs/>
      <w:smallCaps/>
      <w:color w:val="0F4761" w:themeColor="accent1" w:themeShade="BF"/>
      <w:spacing w:val="5"/>
    </w:rPr>
  </w:style>
  <w:style w:type="character" w:styleId="CommentReference">
    <w:name w:val="annotation reference"/>
    <w:basedOn w:val="DefaultParagraphFont"/>
    <w:uiPriority w:val="99"/>
    <w:semiHidden/>
    <w:unhideWhenUsed/>
    <w:rsid w:val="00D83EC7"/>
    <w:rPr>
      <w:sz w:val="16"/>
      <w:szCs w:val="16"/>
    </w:rPr>
  </w:style>
  <w:style w:type="paragraph" w:styleId="CommentText">
    <w:name w:val="annotation text"/>
    <w:basedOn w:val="Normal"/>
    <w:link w:val="CommentTextChar"/>
    <w:uiPriority w:val="99"/>
    <w:unhideWhenUsed/>
    <w:rsid w:val="00D83EC7"/>
    <w:rPr>
      <w:sz w:val="20"/>
    </w:rPr>
  </w:style>
  <w:style w:type="character" w:customStyle="1" w:styleId="CommentTextChar">
    <w:name w:val="Comment Text Char"/>
    <w:basedOn w:val="DefaultParagraphFont"/>
    <w:link w:val="CommentText"/>
    <w:uiPriority w:val="99"/>
    <w:rsid w:val="00D83EC7"/>
    <w:rPr>
      <w:sz w:val="20"/>
    </w:rPr>
  </w:style>
  <w:style w:type="paragraph" w:styleId="CommentSubject">
    <w:name w:val="annotation subject"/>
    <w:basedOn w:val="CommentText"/>
    <w:next w:val="CommentText"/>
    <w:link w:val="CommentSubjectChar"/>
    <w:uiPriority w:val="99"/>
    <w:semiHidden/>
    <w:unhideWhenUsed/>
    <w:rsid w:val="00D83EC7"/>
    <w:rPr>
      <w:b/>
      <w:bCs/>
    </w:rPr>
  </w:style>
  <w:style w:type="character" w:customStyle="1" w:styleId="CommentSubjectChar">
    <w:name w:val="Comment Subject Char"/>
    <w:basedOn w:val="CommentTextChar"/>
    <w:link w:val="CommentSubject"/>
    <w:uiPriority w:val="99"/>
    <w:semiHidden/>
    <w:rsid w:val="00D83EC7"/>
    <w:rPr>
      <w:b/>
      <w:bCs/>
      <w:sz w:val="20"/>
    </w:rPr>
  </w:style>
  <w:style w:type="paragraph" w:styleId="Header">
    <w:name w:val="header"/>
    <w:basedOn w:val="Normal"/>
    <w:link w:val="HeaderChar"/>
    <w:uiPriority w:val="99"/>
    <w:unhideWhenUsed/>
    <w:rsid w:val="007A7D14"/>
    <w:pPr>
      <w:tabs>
        <w:tab w:val="center" w:pos="4680"/>
        <w:tab w:val="right" w:pos="9360"/>
      </w:tabs>
    </w:pPr>
  </w:style>
  <w:style w:type="character" w:customStyle="1" w:styleId="HeaderChar">
    <w:name w:val="Header Char"/>
    <w:basedOn w:val="DefaultParagraphFont"/>
    <w:link w:val="Header"/>
    <w:uiPriority w:val="99"/>
    <w:rsid w:val="007A7D14"/>
  </w:style>
  <w:style w:type="paragraph" w:styleId="Footer">
    <w:name w:val="footer"/>
    <w:basedOn w:val="Normal"/>
    <w:link w:val="FooterChar"/>
    <w:uiPriority w:val="99"/>
    <w:unhideWhenUsed/>
    <w:rsid w:val="007A7D14"/>
    <w:pPr>
      <w:tabs>
        <w:tab w:val="center" w:pos="4680"/>
        <w:tab w:val="right" w:pos="9360"/>
      </w:tabs>
    </w:pPr>
  </w:style>
  <w:style w:type="character" w:customStyle="1" w:styleId="FooterChar">
    <w:name w:val="Footer Char"/>
    <w:basedOn w:val="DefaultParagraphFont"/>
    <w:link w:val="Footer"/>
    <w:uiPriority w:val="99"/>
    <w:rsid w:val="007A7D14"/>
  </w:style>
  <w:style w:type="character" w:styleId="Hyperlink">
    <w:name w:val="Hyperlink"/>
    <w:basedOn w:val="DefaultParagraphFont"/>
    <w:uiPriority w:val="99"/>
    <w:unhideWhenUsed/>
    <w:rsid w:val="00D15AEB"/>
    <w:rPr>
      <w:color w:val="467886" w:themeColor="hyperlink"/>
      <w:u w:val="single"/>
    </w:rPr>
  </w:style>
  <w:style w:type="character" w:styleId="UnresolvedMention">
    <w:name w:val="Unresolved Mention"/>
    <w:basedOn w:val="DefaultParagraphFont"/>
    <w:uiPriority w:val="99"/>
    <w:semiHidden/>
    <w:unhideWhenUsed/>
    <w:rsid w:val="00D15AEB"/>
    <w:rPr>
      <w:color w:val="605E5C"/>
      <w:shd w:val="clear" w:color="auto" w:fill="E1DFDD"/>
    </w:rPr>
  </w:style>
  <w:style w:type="character" w:styleId="FootnoteReference">
    <w:name w:val="footnote reference"/>
    <w:basedOn w:val="DefaultParagraphFont"/>
    <w:uiPriority w:val="99"/>
    <w:semiHidden/>
    <w:unhideWhenUsed/>
    <w:rsid w:val="006F77EF"/>
    <w:rPr>
      <w:vertAlign w:val="superscript"/>
    </w:rPr>
  </w:style>
  <w:style w:type="paragraph" w:styleId="EndnoteText">
    <w:name w:val="endnote text"/>
    <w:basedOn w:val="Normal"/>
    <w:link w:val="EndnoteTextChar"/>
    <w:uiPriority w:val="99"/>
    <w:semiHidden/>
    <w:unhideWhenUsed/>
    <w:rsid w:val="00A2517B"/>
    <w:rPr>
      <w:sz w:val="20"/>
    </w:rPr>
  </w:style>
  <w:style w:type="character" w:customStyle="1" w:styleId="EndnoteTextChar">
    <w:name w:val="Endnote Text Char"/>
    <w:basedOn w:val="DefaultParagraphFont"/>
    <w:link w:val="EndnoteText"/>
    <w:uiPriority w:val="99"/>
    <w:semiHidden/>
    <w:rsid w:val="00A2517B"/>
    <w:rPr>
      <w:sz w:val="20"/>
    </w:rPr>
  </w:style>
  <w:style w:type="character" w:styleId="EndnoteReference">
    <w:name w:val="endnote reference"/>
    <w:basedOn w:val="DefaultParagraphFont"/>
    <w:uiPriority w:val="99"/>
    <w:semiHidden/>
    <w:unhideWhenUsed/>
    <w:rsid w:val="00A251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353/tj.2015.009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doi.org/10.1353/ail.0.0102" TargetMode="External"/><Relationship Id="rId4" Type="http://schemas.openxmlformats.org/officeDocument/2006/relationships/settings" Target="settings.xml"/><Relationship Id="rId9" Type="http://schemas.openxmlformats.org/officeDocument/2006/relationships/hyperlink" Target="https://joebruchac.com/f/dreams-of-the-tote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B5068-229A-4E21-8583-D3A522EB2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2968</TotalTime>
  <Pages>5</Pages>
  <Words>2700</Words>
  <Characters>15390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Northrop</dc:creator>
  <cp:keywords/>
  <dc:description/>
  <cp:lastModifiedBy>Rachel Northrop</cp:lastModifiedBy>
  <cp:revision>65</cp:revision>
  <dcterms:created xsi:type="dcterms:W3CDTF">2026-03-18T16:27:00Z</dcterms:created>
  <dcterms:modified xsi:type="dcterms:W3CDTF">2026-04-28T14:52:00Z</dcterms:modified>
</cp:coreProperties>
</file>